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420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《关于“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呼和浩特市赛罕区温暖工程（燃气热力集团供热区二次网改造二期）材料采购项目二标段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”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中标候选人公示情况说明》文件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firstLine="0" w:firstLineChars="0"/>
        <w:jc w:val="both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sz w:val="28"/>
          <w:szCs w:val="28"/>
          <w:lang w:val="en-US" w:eastAsia="zh-CN"/>
        </w:rPr>
        <w:t>呼和浩特市公共资源交易监督管理局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/>
        <w:jc w:val="both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呼和浩特市赛罕区温暖工程（燃气热力集团供热区二次网改造二期）材料采购项目二标段于2024年4月19日开标，2024年4月20日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发布中标候选人公示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在公示期间发现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公示附件中</w:t>
      </w:r>
      <w:r>
        <w:rPr>
          <w:rFonts w:hint="eastAsia" w:ascii="宋体" w:hAnsi="宋体" w:eastAsia="宋体" w:cs="宋体"/>
          <w:sz w:val="28"/>
          <w:szCs w:val="28"/>
        </w:rPr>
        <w:t>“评标明细内容确认”内容有误，经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核对</w:t>
      </w:r>
      <w:r>
        <w:rPr>
          <w:rFonts w:hint="eastAsia" w:ascii="宋体" w:hAnsi="宋体" w:eastAsia="宋体" w:cs="宋体"/>
          <w:sz w:val="28"/>
          <w:szCs w:val="28"/>
        </w:rPr>
        <w:t>，评标组长郑红飞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存在系统操作失误</w:t>
      </w:r>
      <w:r>
        <w:rPr>
          <w:rFonts w:hint="eastAsia" w:ascii="宋体" w:hAnsi="宋体" w:eastAsia="宋体" w:cs="宋体"/>
          <w:sz w:val="28"/>
          <w:szCs w:val="28"/>
        </w:rPr>
        <w:t>，但不影响中标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候选人每项内容的得</w:t>
      </w:r>
      <w:r>
        <w:rPr>
          <w:rFonts w:hint="eastAsia" w:ascii="宋体" w:hAnsi="宋体" w:eastAsia="宋体" w:cs="宋体"/>
          <w:sz w:val="28"/>
          <w:szCs w:val="28"/>
        </w:rPr>
        <w:t>分及排序，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为了不影响本项目的顺利进行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</w:t>
      </w:r>
      <w:r>
        <w:rPr>
          <w:rFonts w:hint="eastAsia" w:ascii="宋体" w:hAnsi="宋体" w:eastAsia="宋体" w:cs="宋体"/>
          <w:sz w:val="28"/>
          <w:szCs w:val="28"/>
        </w:rPr>
        <w:t>申请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贵局</w:t>
      </w:r>
      <w:r>
        <w:rPr>
          <w:rFonts w:hint="eastAsia" w:ascii="宋体" w:hAnsi="宋体" w:eastAsia="宋体" w:cs="宋体"/>
          <w:sz w:val="28"/>
          <w:szCs w:val="28"/>
        </w:rPr>
        <w:t>对错误的评标明细内容进行更正。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346710</wp:posOffset>
            </wp:positionV>
            <wp:extent cx="6326505" cy="4072255"/>
            <wp:effectExtent l="0" t="0" r="10795" b="4445"/>
            <wp:wrapNone/>
            <wp:docPr id="1" name="图片 1" descr="e7d2eb030deebe32572a1e2f86f8c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7d2eb030deebe32572a1e2f86f8c2c"/>
                    <pic:cNvPicPr>
                      <a:picLocks noChangeAspect="1"/>
                    </pic:cNvPicPr>
                  </pic:nvPicPr>
                  <pic:blipFill>
                    <a:blip r:embed="rId6"/>
                    <a:srcRect b="15532"/>
                    <a:stretch>
                      <a:fillRect/>
                    </a:stretch>
                  </pic:blipFill>
                  <pic:spPr>
                    <a:xfrm>
                      <a:off x="0" y="0"/>
                      <a:ext cx="6326505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原中标候选人评标明细内容：</w:t>
      </w:r>
    </w:p>
    <w:p>
      <w:pPr>
        <w:tabs>
          <w:tab w:val="left" w:pos="480"/>
        </w:tabs>
        <w:ind w:left="0" w:leftChars="0" w:firstLine="360" w:firstLineChars="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170815</wp:posOffset>
            </wp:positionH>
            <wp:positionV relativeFrom="paragraph">
              <wp:posOffset>60325</wp:posOffset>
            </wp:positionV>
            <wp:extent cx="6136005" cy="7731125"/>
            <wp:effectExtent l="0" t="0" r="10795" b="3175"/>
            <wp:wrapNone/>
            <wp:docPr id="2" name="图片 2" descr="8e8d3aa4eb1f51b251d10c77a815e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e8d3aa4eb1f51b251d10c77a815ecc"/>
                    <pic:cNvPicPr>
                      <a:picLocks noChangeAspect="1"/>
                    </pic:cNvPicPr>
                  </pic:nvPicPr>
                  <pic:blipFill>
                    <a:blip r:embed="rId7"/>
                    <a:srcRect b="10051"/>
                    <a:stretch>
                      <a:fillRect/>
                    </a:stretch>
                  </pic:blipFill>
                  <pic:spPr>
                    <a:xfrm>
                      <a:off x="0" y="0"/>
                      <a:ext cx="6136005" cy="773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-142875</wp:posOffset>
            </wp:positionV>
            <wp:extent cx="6101715" cy="7577455"/>
            <wp:effectExtent l="0" t="0" r="6985" b="4445"/>
            <wp:wrapNone/>
            <wp:docPr id="3" name="图片 3" descr="f519f5353b63adb68d79d44c12ef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f519f5353b63adb68d79d44c12efaff"/>
                    <pic:cNvPicPr>
                      <a:picLocks noChangeAspect="1"/>
                    </pic:cNvPicPr>
                  </pic:nvPicPr>
                  <pic:blipFill>
                    <a:blip r:embed="rId8"/>
                    <a:srcRect b="30655"/>
                    <a:stretch>
                      <a:fillRect/>
                    </a:stretch>
                  </pic:blipFill>
                  <pic:spPr>
                    <a:xfrm>
                      <a:off x="0" y="0"/>
                      <a:ext cx="6101715" cy="757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现变更为：</w:t>
      </w:r>
    </w:p>
    <w:tbl>
      <w:tblPr>
        <w:tblStyle w:val="176"/>
        <w:tblW w:w="10248" w:type="dxa"/>
        <w:tblInd w:w="7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3638"/>
        <w:gridCol w:w="1712"/>
        <w:gridCol w:w="4162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0248" w:type="dxa"/>
            <w:gridSpan w:val="4"/>
            <w:vAlign w:val="top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3864"/>
              <w:textAlignment w:val="auto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（四）否决投标公示详情信息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736" w:type="dxa"/>
            <w:vAlign w:val="top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</w:pPr>
            <w:r>
              <w:rPr>
                <w:spacing w:val="-2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3638" w:type="dxa"/>
            <w:vAlign w:val="top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投标人</w:t>
            </w:r>
          </w:p>
        </w:tc>
        <w:tc>
          <w:tcPr>
            <w:tcW w:w="1712" w:type="dxa"/>
            <w:vAlign w:val="top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</w:pPr>
            <w:r>
              <w:rPr>
                <w:spacing w:val="-2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评审阶段</w:t>
            </w:r>
          </w:p>
        </w:tc>
        <w:tc>
          <w:tcPr>
            <w:tcW w:w="4162" w:type="dxa"/>
            <w:vAlign w:val="top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</w:pPr>
            <w:r>
              <w:rPr>
                <w:spacing w:val="-2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被否决原因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6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</w:pPr>
            <w:r>
              <w:t>1</w:t>
            </w:r>
          </w:p>
        </w:tc>
        <w:tc>
          <w:tcPr>
            <w:tcW w:w="3638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</w:pPr>
            <w:r>
              <w:rPr>
                <w:rFonts w:hint="default"/>
                <w:lang w:val="en-US" w:eastAsia="zh-CN"/>
              </w:rPr>
              <w:t>内蒙古万隆恒润保温工程有限责任公司</w:t>
            </w:r>
          </w:p>
        </w:tc>
        <w:tc>
          <w:tcPr>
            <w:tcW w:w="171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</w:pPr>
            <w:r>
              <w:rPr>
                <w:spacing w:val="-2"/>
              </w:rPr>
              <w:t>初步评审</w:t>
            </w:r>
          </w:p>
        </w:tc>
        <w:tc>
          <w:tcPr>
            <w:tcW w:w="416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right="85" w:firstLine="0" w:firstLineChars="0"/>
              <w:jc w:val="both"/>
              <w:textAlignment w:val="auto"/>
            </w:pPr>
            <w:r>
              <w:rPr>
                <w:spacing w:val="-1"/>
              </w:rPr>
              <w:t>初步评审阶段，投标文件不符合招标文件中</w:t>
            </w:r>
            <w:r>
              <w:rPr>
                <w:spacing w:val="-3"/>
              </w:rPr>
              <w:t>第六章投标文件格式的要求。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6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2</w:t>
            </w:r>
          </w:p>
        </w:tc>
        <w:tc>
          <w:tcPr>
            <w:tcW w:w="3638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rFonts w:hint="default"/>
                <w:spacing w:val="-2"/>
                <w:lang w:val="en-US" w:eastAsia="zh-CN"/>
              </w:rPr>
              <w:t>天津市管道工程集团有限公司</w:t>
            </w:r>
          </w:p>
        </w:tc>
        <w:tc>
          <w:tcPr>
            <w:tcW w:w="171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</w:t>
            </w:r>
          </w:p>
        </w:tc>
        <w:tc>
          <w:tcPr>
            <w:tcW w:w="416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初步评审阶段，投标文件不符合招标文件中 第六章投标文件格式的要求。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6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3</w:t>
            </w:r>
          </w:p>
        </w:tc>
        <w:tc>
          <w:tcPr>
            <w:tcW w:w="3638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rFonts w:hint="default"/>
                <w:spacing w:val="-2"/>
                <w:lang w:val="en-US" w:eastAsia="zh-CN"/>
              </w:rPr>
              <w:t>河北峰诚管道有限公司</w:t>
            </w:r>
          </w:p>
        </w:tc>
        <w:tc>
          <w:tcPr>
            <w:tcW w:w="171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</w:t>
            </w:r>
          </w:p>
        </w:tc>
        <w:tc>
          <w:tcPr>
            <w:tcW w:w="416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初步评审阶段，投标文件不符合招标文件中 第六章投标文件格式的要求。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6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3638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rFonts w:hint="default"/>
                <w:spacing w:val="-2"/>
                <w:lang w:val="en-US" w:eastAsia="zh-CN"/>
              </w:rPr>
              <w:t>山东聚能控股集团有限公司</w:t>
            </w:r>
          </w:p>
        </w:tc>
        <w:tc>
          <w:tcPr>
            <w:tcW w:w="171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</w:t>
            </w:r>
          </w:p>
        </w:tc>
        <w:tc>
          <w:tcPr>
            <w:tcW w:w="416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初步评审阶段，投标文件不符合招标文件中 第六章投标文件格式的要求。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6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5</w:t>
            </w:r>
          </w:p>
        </w:tc>
        <w:tc>
          <w:tcPr>
            <w:tcW w:w="3638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rFonts w:hint="default"/>
                <w:spacing w:val="-2"/>
                <w:lang w:val="en-US" w:eastAsia="zh-CN"/>
              </w:rPr>
              <w:t>山东东宏管业股份有限公司</w:t>
            </w:r>
          </w:p>
        </w:tc>
        <w:tc>
          <w:tcPr>
            <w:tcW w:w="171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</w:t>
            </w:r>
          </w:p>
        </w:tc>
        <w:tc>
          <w:tcPr>
            <w:tcW w:w="416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初步评审阶段，投标文件不符合招标文件中 第六章投标文件格式的要求。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6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6</w:t>
            </w:r>
          </w:p>
        </w:tc>
        <w:tc>
          <w:tcPr>
            <w:tcW w:w="3638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rFonts w:hint="default"/>
                <w:spacing w:val="-2"/>
                <w:lang w:val="en-US" w:eastAsia="zh-CN"/>
              </w:rPr>
              <w:t>中投（天津）智能管道股份有限公司</w:t>
            </w:r>
          </w:p>
        </w:tc>
        <w:tc>
          <w:tcPr>
            <w:tcW w:w="171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</w:t>
            </w:r>
          </w:p>
        </w:tc>
        <w:tc>
          <w:tcPr>
            <w:tcW w:w="416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初步评审阶段，</w:t>
            </w:r>
            <w:r>
              <w:rPr>
                <w:rFonts w:hint="default"/>
                <w:spacing w:val="-2"/>
                <w:lang w:val="en-US" w:eastAsia="zh-CN"/>
              </w:rPr>
              <w:t>投标人投标函中招标人名称错误</w:t>
            </w:r>
            <w:r>
              <w:rPr>
                <w:spacing w:val="-2"/>
              </w:rPr>
              <w:t>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6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3638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rFonts w:hint="default"/>
                <w:spacing w:val="-2"/>
                <w:lang w:val="en-US" w:eastAsia="zh-CN"/>
              </w:rPr>
              <w:t>天津中浩供热工程有限公司</w:t>
            </w:r>
          </w:p>
        </w:tc>
        <w:tc>
          <w:tcPr>
            <w:tcW w:w="171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</w:t>
            </w:r>
          </w:p>
        </w:tc>
        <w:tc>
          <w:tcPr>
            <w:tcW w:w="416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初步评审阶段，投标文件不符合招标文件中 第六章投标文件格式的要求。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6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3638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spacing w:val="-2"/>
              </w:rPr>
              <w:t>天津天地龙管业股份有限公司</w:t>
            </w:r>
          </w:p>
        </w:tc>
        <w:tc>
          <w:tcPr>
            <w:tcW w:w="171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</w:t>
            </w:r>
          </w:p>
        </w:tc>
        <w:tc>
          <w:tcPr>
            <w:tcW w:w="416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初步评审阶段，投标文件不符合招标文件中 第六章投标文件格式的要求。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</w:trPr>
        <w:tc>
          <w:tcPr>
            <w:tcW w:w="736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3638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spacing w:val="-2"/>
              </w:rPr>
              <w:t>唐山兴邦管道工程设备有限公司</w:t>
            </w:r>
          </w:p>
        </w:tc>
        <w:tc>
          <w:tcPr>
            <w:tcW w:w="171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</w:t>
            </w:r>
          </w:p>
        </w:tc>
        <w:tc>
          <w:tcPr>
            <w:tcW w:w="416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初步评审阶段，投标文件不符合招标文件中 第六章投标文件格式的要求。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36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10</w:t>
            </w:r>
          </w:p>
        </w:tc>
        <w:tc>
          <w:tcPr>
            <w:tcW w:w="3638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rFonts w:hint="default"/>
                <w:spacing w:val="-2"/>
                <w:lang w:val="en-US" w:eastAsia="zh-CN"/>
              </w:rPr>
              <w:t>河北凯特威管道有限公司</w:t>
            </w:r>
          </w:p>
        </w:tc>
        <w:tc>
          <w:tcPr>
            <w:tcW w:w="171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center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</w:t>
            </w:r>
          </w:p>
        </w:tc>
        <w:tc>
          <w:tcPr>
            <w:tcW w:w="4162" w:type="dxa"/>
            <w:vAlign w:val="center"/>
          </w:tcPr>
          <w:p>
            <w:pPr>
              <w:pStyle w:val="17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both"/>
              <w:textAlignment w:val="auto"/>
              <w:rPr>
                <w:spacing w:val="-2"/>
              </w:rPr>
            </w:pPr>
            <w:r>
              <w:rPr>
                <w:spacing w:val="-2"/>
              </w:rPr>
              <w:t>初步评审阶段</w:t>
            </w:r>
            <w:r>
              <w:rPr>
                <w:rFonts w:hint="eastAsia"/>
                <w:spacing w:val="-2"/>
                <w:lang w:val="en-US" w:eastAsia="zh-CN"/>
              </w:rPr>
              <w:t>,</w:t>
            </w:r>
            <w:r>
              <w:rPr>
                <w:spacing w:val="-2"/>
              </w:rPr>
              <w:t>投标文件不符合招标文件中 第六章投标文件格式的要求。</w:t>
            </w:r>
          </w:p>
        </w:tc>
      </w:tr>
    </w:tbl>
    <w:p>
      <w:pPr>
        <w:spacing w:before="48"/>
      </w:pPr>
    </w:p>
    <w:tbl>
      <w:tblPr>
        <w:tblStyle w:val="176"/>
        <w:tblW w:w="10199" w:type="dxa"/>
        <w:tblInd w:w="6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5"/>
        <w:gridCol w:w="2361"/>
        <w:gridCol w:w="747"/>
        <w:gridCol w:w="748"/>
        <w:gridCol w:w="748"/>
        <w:gridCol w:w="748"/>
        <w:gridCol w:w="748"/>
        <w:gridCol w:w="748"/>
        <w:gridCol w:w="748"/>
        <w:gridCol w:w="1848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199" w:type="dxa"/>
            <w:gridSpan w:val="10"/>
            <w:vAlign w:val="top"/>
          </w:tcPr>
          <w:p>
            <w:pPr>
              <w:pStyle w:val="175"/>
              <w:spacing w:before="165" w:line="220" w:lineRule="auto"/>
              <w:ind w:left="2709"/>
            </w:pPr>
            <w:r>
              <w:rPr>
                <w:spacing w:val="-2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（五）技术标评分参数评分参数评委打分公示详情信息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755" w:type="dxa"/>
            <w:vAlign w:val="top"/>
          </w:tcPr>
          <w:p>
            <w:pPr>
              <w:pStyle w:val="175"/>
              <w:spacing w:before="160" w:line="221" w:lineRule="auto"/>
              <w:ind w:left="0" w:leftChars="0" w:firstLine="0" w:firstLineChars="0"/>
              <w:jc w:val="center"/>
            </w:pPr>
            <w:r>
              <w:rPr>
                <w:spacing w:val="-2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2361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投标人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1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160" w:line="220" w:lineRule="auto"/>
              <w:ind w:left="0" w:leftChars="0" w:right="3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160" w:line="220" w:lineRule="auto"/>
              <w:ind w:left="0" w:leftChars="0" w:right="1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</w:p>
        </w:tc>
        <w:tc>
          <w:tcPr>
            <w:tcW w:w="1848" w:type="dxa"/>
            <w:vAlign w:val="top"/>
          </w:tcPr>
          <w:p>
            <w:pPr>
              <w:pStyle w:val="175"/>
              <w:spacing w:before="160" w:line="225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汇总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55" w:type="dxa"/>
            <w:vAlign w:val="top"/>
          </w:tcPr>
          <w:p>
            <w:pPr>
              <w:pStyle w:val="175"/>
              <w:spacing w:before="228" w:line="182" w:lineRule="auto"/>
              <w:ind w:left="0" w:leftChars="0" w:firstLine="0" w:firstLineChars="0"/>
              <w:jc w:val="center"/>
            </w:pPr>
            <w:r>
              <w:t>1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firstLine="0" w:firstLineChars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吉林省长德新材科技股份有限公司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23.40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21.80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20.70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24.10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28" w:line="182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25.45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24.40</w:t>
            </w:r>
          </w:p>
        </w:tc>
        <w:tc>
          <w:tcPr>
            <w:tcW w:w="1848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23.54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55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  <w:jc w:val="center"/>
            </w:pPr>
            <w:r>
              <w:t>2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firstLine="0" w:firstLineChars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内蒙古晟泰节能材料有限公司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29.60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0" w:line="182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29.10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0" w:line="182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26.80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30.40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0" w:line="182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31.40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0" w:line="182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30.70</w:t>
            </w:r>
          </w:p>
        </w:tc>
        <w:tc>
          <w:tcPr>
            <w:tcW w:w="1848" w:type="dxa"/>
            <w:vAlign w:val="top"/>
          </w:tcPr>
          <w:p>
            <w:pPr>
              <w:pStyle w:val="175"/>
              <w:spacing w:before="230" w:line="182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30.16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55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  <w:jc w:val="center"/>
            </w:pPr>
            <w:r>
              <w:t>3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firstLine="0" w:firstLineChars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河北鑫瑞得管道设备有限公司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2" w:line="182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33.10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33.10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30.70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33.90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2" w:line="182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35.40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34.60</w:t>
            </w:r>
          </w:p>
        </w:tc>
        <w:tc>
          <w:tcPr>
            <w:tcW w:w="1848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34.02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55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jc w:val="center"/>
            </w:pPr>
            <w:r>
              <w:t>4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firstLine="0" w:firstLineChars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内蒙古伟之杰节能装备有限公司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37.70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3" w:line="182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36.90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39.80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38.50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39.40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39.20</w:t>
            </w:r>
          </w:p>
        </w:tc>
        <w:tc>
          <w:tcPr>
            <w:tcW w:w="1848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38.92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755" w:type="dxa"/>
            <w:vAlign w:val="top"/>
          </w:tcPr>
          <w:p>
            <w:pPr>
              <w:pStyle w:val="175"/>
              <w:spacing w:before="237" w:line="180" w:lineRule="auto"/>
              <w:ind w:left="0" w:leftChars="0" w:firstLine="0" w:firstLineChars="0"/>
              <w:jc w:val="center"/>
            </w:pPr>
            <w:r>
              <w:t>5</w:t>
            </w:r>
          </w:p>
        </w:tc>
        <w:tc>
          <w:tcPr>
            <w:tcW w:w="23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firstLine="0" w:firstLineChars="0"/>
              <w:jc w:val="left"/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辽宁鸿鑫节能科技有限公司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38.90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39.70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37.80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5" w:line="182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39.30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38.70</w:t>
            </w:r>
          </w:p>
        </w:tc>
        <w:tc>
          <w:tcPr>
            <w:tcW w:w="1848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38.88</w:t>
            </w:r>
          </w:p>
        </w:tc>
      </w:tr>
    </w:tbl>
    <w:p>
      <w:pPr>
        <w:spacing w:before="48"/>
      </w:pPr>
    </w:p>
    <w:tbl>
      <w:tblPr>
        <w:tblStyle w:val="176"/>
        <w:tblW w:w="10262" w:type="dxa"/>
        <w:tblInd w:w="6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1"/>
        <w:gridCol w:w="2326"/>
        <w:gridCol w:w="734"/>
        <w:gridCol w:w="750"/>
        <w:gridCol w:w="750"/>
        <w:gridCol w:w="750"/>
        <w:gridCol w:w="750"/>
        <w:gridCol w:w="750"/>
        <w:gridCol w:w="750"/>
        <w:gridCol w:w="1891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10262" w:type="dxa"/>
            <w:gridSpan w:val="10"/>
            <w:vAlign w:val="top"/>
          </w:tcPr>
          <w:p>
            <w:pPr>
              <w:pStyle w:val="175"/>
              <w:spacing w:before="165" w:line="220" w:lineRule="auto"/>
              <w:ind w:left="2709"/>
            </w:pPr>
            <w:r>
              <w:rPr>
                <w:spacing w:val="-2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（六）经济标评分参数评分参数评委打分公示详情信息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11" w:type="dxa"/>
            <w:vAlign w:val="top"/>
          </w:tcPr>
          <w:p>
            <w:pPr>
              <w:pStyle w:val="175"/>
              <w:spacing w:before="160" w:line="221" w:lineRule="auto"/>
              <w:ind w:left="0" w:leftChars="0" w:firstLine="0" w:firstLineChars="0"/>
              <w:jc w:val="center"/>
            </w:pPr>
            <w:r>
              <w:rPr>
                <w:spacing w:val="-2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2326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投标人</w:t>
            </w:r>
          </w:p>
        </w:tc>
        <w:tc>
          <w:tcPr>
            <w:tcW w:w="734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1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160" w:line="220" w:lineRule="auto"/>
              <w:ind w:left="0" w:leftChars="0" w:right="3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160" w:line="220" w:lineRule="auto"/>
              <w:ind w:left="0" w:leftChars="0" w:right="1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</w:p>
        </w:tc>
        <w:tc>
          <w:tcPr>
            <w:tcW w:w="1891" w:type="dxa"/>
            <w:vAlign w:val="top"/>
          </w:tcPr>
          <w:p>
            <w:pPr>
              <w:pStyle w:val="175"/>
              <w:spacing w:before="160" w:line="225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汇总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11" w:type="dxa"/>
            <w:vAlign w:val="top"/>
          </w:tcPr>
          <w:p>
            <w:pPr>
              <w:pStyle w:val="175"/>
              <w:spacing w:before="228" w:line="182" w:lineRule="auto"/>
              <w:ind w:left="0" w:leftChars="0" w:firstLine="0" w:firstLineChars="0"/>
              <w:jc w:val="center"/>
            </w:pPr>
            <w:r>
              <w:t>1</w:t>
            </w:r>
          </w:p>
        </w:tc>
        <w:tc>
          <w:tcPr>
            <w:tcW w:w="2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吉林省长德新材科技股份有限公司</w:t>
            </w:r>
          </w:p>
        </w:tc>
        <w:tc>
          <w:tcPr>
            <w:tcW w:w="734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47.63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47.63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47.63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47.63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47.63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47.63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47.63</w:t>
            </w:r>
          </w:p>
        </w:tc>
        <w:tc>
          <w:tcPr>
            <w:tcW w:w="1891" w:type="dxa"/>
            <w:vAlign w:val="top"/>
          </w:tcPr>
          <w:p>
            <w:pPr>
              <w:pStyle w:val="175"/>
              <w:spacing w:before="230" w:line="181" w:lineRule="auto"/>
              <w:ind w:left="46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11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  <w:jc w:val="center"/>
            </w:pPr>
            <w:r>
              <w:t>2</w:t>
            </w:r>
          </w:p>
        </w:tc>
        <w:tc>
          <w:tcPr>
            <w:tcW w:w="2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内蒙古晟泰节能材料有限公司</w:t>
            </w:r>
          </w:p>
        </w:tc>
        <w:tc>
          <w:tcPr>
            <w:tcW w:w="734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48.96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48.96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48.96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48.96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48.96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48.96</w:t>
            </w:r>
          </w:p>
        </w:tc>
        <w:tc>
          <w:tcPr>
            <w:tcW w:w="1891" w:type="dxa"/>
            <w:vAlign w:val="top"/>
          </w:tcPr>
          <w:p>
            <w:pPr>
              <w:pStyle w:val="175"/>
              <w:spacing w:before="231" w:line="181" w:lineRule="auto"/>
              <w:ind w:left="99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11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  <w:jc w:val="center"/>
            </w:pPr>
            <w:r>
              <w:t>3</w:t>
            </w:r>
          </w:p>
        </w:tc>
        <w:tc>
          <w:tcPr>
            <w:tcW w:w="2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河北鑫瑞得管道设备有限公司</w:t>
            </w:r>
          </w:p>
        </w:tc>
        <w:tc>
          <w:tcPr>
            <w:tcW w:w="734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49.91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49.91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49.91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49.91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49.91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49.91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49.91</w:t>
            </w:r>
          </w:p>
        </w:tc>
        <w:tc>
          <w:tcPr>
            <w:tcW w:w="1891" w:type="dxa"/>
            <w:vAlign w:val="top"/>
          </w:tcPr>
          <w:p>
            <w:pPr>
              <w:pStyle w:val="175"/>
              <w:spacing w:before="233" w:line="181" w:lineRule="auto"/>
              <w:ind w:left="46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11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jc w:val="center"/>
            </w:pPr>
            <w:r>
              <w:t>4</w:t>
            </w:r>
          </w:p>
        </w:tc>
        <w:tc>
          <w:tcPr>
            <w:tcW w:w="2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内蒙古伟之杰节能装备有限公司</w:t>
            </w:r>
          </w:p>
        </w:tc>
        <w:tc>
          <w:tcPr>
            <w:tcW w:w="734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49.75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49.75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49.75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49.75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49.75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49.75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49.75</w:t>
            </w:r>
          </w:p>
        </w:tc>
        <w:tc>
          <w:tcPr>
            <w:tcW w:w="1891" w:type="dxa"/>
            <w:vAlign w:val="top"/>
          </w:tcPr>
          <w:p>
            <w:pPr>
              <w:pStyle w:val="175"/>
              <w:spacing w:before="235" w:line="181" w:lineRule="auto"/>
              <w:ind w:left="46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11" w:type="dxa"/>
            <w:vAlign w:val="top"/>
          </w:tcPr>
          <w:p>
            <w:pPr>
              <w:pStyle w:val="175"/>
              <w:spacing w:before="237" w:line="180" w:lineRule="auto"/>
              <w:ind w:left="0" w:leftChars="0" w:firstLine="0" w:firstLineChars="0"/>
              <w:jc w:val="center"/>
            </w:pPr>
            <w:r>
              <w:t>5</w:t>
            </w:r>
          </w:p>
        </w:tc>
        <w:tc>
          <w:tcPr>
            <w:tcW w:w="232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辽宁鸿鑫节能科技有限公司</w:t>
            </w:r>
          </w:p>
        </w:tc>
        <w:tc>
          <w:tcPr>
            <w:tcW w:w="734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49.96</w:t>
            </w:r>
          </w:p>
        </w:tc>
        <w:tc>
          <w:tcPr>
            <w:tcW w:w="750" w:type="dxa"/>
            <w:vAlign w:val="top"/>
          </w:tcPr>
          <w:p>
            <w:pPr>
              <w:pStyle w:val="175"/>
              <w:spacing w:before="236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49.96</w:t>
            </w:r>
          </w:p>
        </w:tc>
        <w:tc>
          <w:tcPr>
            <w:tcW w:w="1891" w:type="dxa"/>
            <w:vAlign w:val="top"/>
          </w:tcPr>
          <w:p>
            <w:pPr>
              <w:pStyle w:val="175"/>
              <w:spacing w:before="236" w:line="181" w:lineRule="auto"/>
              <w:ind w:left="46" w:leftChars="0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spacing w:before="43"/>
      </w:pPr>
    </w:p>
    <w:tbl>
      <w:tblPr>
        <w:tblStyle w:val="176"/>
        <w:tblW w:w="10312" w:type="dxa"/>
        <w:tblInd w:w="6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2240"/>
        <w:gridCol w:w="747"/>
        <w:gridCol w:w="747"/>
        <w:gridCol w:w="747"/>
        <w:gridCol w:w="747"/>
        <w:gridCol w:w="747"/>
        <w:gridCol w:w="748"/>
        <w:gridCol w:w="748"/>
        <w:gridCol w:w="1963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312" w:type="dxa"/>
            <w:gridSpan w:val="10"/>
            <w:vAlign w:val="top"/>
          </w:tcPr>
          <w:p>
            <w:pPr>
              <w:pStyle w:val="175"/>
              <w:spacing w:before="165" w:line="220" w:lineRule="auto"/>
              <w:ind w:left="2709"/>
            </w:pPr>
            <w:r>
              <w:rPr>
                <w:spacing w:val="-2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（七）综合标评分参数评分参数评委打分公示详情信息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78" w:type="dxa"/>
            <w:vAlign w:val="top"/>
          </w:tcPr>
          <w:p>
            <w:pPr>
              <w:pStyle w:val="175"/>
              <w:spacing w:before="166" w:line="221" w:lineRule="auto"/>
              <w:ind w:left="0" w:leftChars="0" w:firstLine="0" w:firstLineChars="0"/>
              <w:jc w:val="center"/>
            </w:pPr>
            <w:r>
              <w:rPr>
                <w:spacing w:val="-2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2240" w:type="dxa"/>
            <w:vAlign w:val="top"/>
          </w:tcPr>
          <w:p>
            <w:pPr>
              <w:pStyle w:val="175"/>
              <w:spacing w:before="166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投标人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166" w:line="220" w:lineRule="auto"/>
              <w:ind w:left="0" w:leftChars="0" w:firstLine="0" w:firstLineChars="0"/>
              <w:jc w:val="center"/>
            </w:pPr>
            <w:r>
              <w:rPr>
                <w:spacing w:val="-1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166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166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166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166" w:line="220" w:lineRule="auto"/>
              <w:ind w:left="0" w:leftChars="0" w:right="3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166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166" w:line="220" w:lineRule="auto"/>
              <w:ind w:left="0" w:leftChars="0" w:right="1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</w:p>
        </w:tc>
        <w:tc>
          <w:tcPr>
            <w:tcW w:w="1963" w:type="dxa"/>
            <w:vAlign w:val="top"/>
          </w:tcPr>
          <w:p>
            <w:pPr>
              <w:pStyle w:val="175"/>
              <w:spacing w:before="166" w:line="225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汇总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78" w:type="dxa"/>
            <w:vAlign w:val="top"/>
          </w:tcPr>
          <w:p>
            <w:pPr>
              <w:pStyle w:val="175"/>
              <w:spacing w:before="227" w:line="182" w:lineRule="auto"/>
              <w:ind w:left="0" w:leftChars="0" w:firstLine="0" w:firstLineChars="0"/>
              <w:jc w:val="center"/>
            </w:pPr>
            <w:r>
              <w:t>1</w:t>
            </w:r>
          </w:p>
        </w:tc>
        <w:tc>
          <w:tcPr>
            <w:tcW w:w="22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吉林省长德新材科技股份有限公司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29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29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29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7.00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29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7.00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29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7.00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29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7.00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29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7.00</w:t>
            </w:r>
          </w:p>
        </w:tc>
        <w:tc>
          <w:tcPr>
            <w:tcW w:w="1963" w:type="dxa"/>
            <w:vAlign w:val="top"/>
          </w:tcPr>
          <w:p>
            <w:pPr>
              <w:pStyle w:val="175"/>
              <w:spacing w:before="229" w:line="181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7.00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78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jc w:val="center"/>
            </w:pPr>
            <w:r>
              <w:t>2</w:t>
            </w:r>
          </w:p>
        </w:tc>
        <w:tc>
          <w:tcPr>
            <w:tcW w:w="22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内蒙古晟泰节能材料有限公司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1963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6.00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78" w:type="dxa"/>
            <w:vAlign w:val="top"/>
          </w:tcPr>
          <w:p>
            <w:pPr>
              <w:pStyle w:val="175"/>
              <w:spacing w:before="232" w:line="181" w:lineRule="auto"/>
              <w:ind w:left="0" w:leftChars="0" w:firstLine="0" w:firstLineChars="0"/>
              <w:jc w:val="center"/>
            </w:pPr>
            <w:r>
              <w:t>3</w:t>
            </w:r>
          </w:p>
        </w:tc>
        <w:tc>
          <w:tcPr>
            <w:tcW w:w="22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河北鑫瑞得管道设备有限公司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2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2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2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2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2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2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2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6.00</w:t>
            </w:r>
          </w:p>
        </w:tc>
        <w:tc>
          <w:tcPr>
            <w:tcW w:w="1963" w:type="dxa"/>
            <w:vAlign w:val="top"/>
          </w:tcPr>
          <w:p>
            <w:pPr>
              <w:pStyle w:val="175"/>
              <w:spacing w:before="232" w:line="181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6.00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78" w:type="dxa"/>
            <w:vAlign w:val="top"/>
          </w:tcPr>
          <w:p>
            <w:pPr>
              <w:pStyle w:val="175"/>
              <w:spacing w:before="234" w:line="181" w:lineRule="auto"/>
              <w:ind w:left="0" w:leftChars="0" w:firstLine="0" w:firstLineChars="0"/>
              <w:jc w:val="center"/>
            </w:pPr>
            <w:r>
              <w:t>4</w:t>
            </w:r>
          </w:p>
        </w:tc>
        <w:tc>
          <w:tcPr>
            <w:tcW w:w="22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内蒙古伟之杰节能装备有限公司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4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4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4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4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4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4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4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1963" w:type="dxa"/>
            <w:vAlign w:val="top"/>
          </w:tcPr>
          <w:p>
            <w:pPr>
              <w:pStyle w:val="175"/>
              <w:spacing w:before="234" w:line="181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878" w:type="dxa"/>
            <w:vAlign w:val="top"/>
          </w:tcPr>
          <w:p>
            <w:pPr>
              <w:pStyle w:val="175"/>
              <w:spacing w:before="236" w:line="180" w:lineRule="auto"/>
              <w:ind w:left="0" w:leftChars="0" w:firstLine="0" w:firstLineChars="0"/>
              <w:jc w:val="center"/>
            </w:pPr>
            <w:r>
              <w:t>5</w:t>
            </w:r>
          </w:p>
        </w:tc>
        <w:tc>
          <w:tcPr>
            <w:tcW w:w="22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辽宁鸿鑫节能科技有限公司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7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748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  <w:tc>
          <w:tcPr>
            <w:tcW w:w="1963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10.00</w:t>
            </w:r>
          </w:p>
        </w:tc>
      </w:tr>
    </w:tbl>
    <w:p>
      <w:pPr>
        <w:spacing w:before="48"/>
      </w:pPr>
    </w:p>
    <w:tbl>
      <w:tblPr>
        <w:tblStyle w:val="176"/>
        <w:tblW w:w="10298" w:type="dxa"/>
        <w:tblInd w:w="6" w:type="dxa"/>
        <w:tblBorders>
          <w:top w:val="single" w:color="808080" w:sz="6" w:space="0"/>
          <w:left w:val="single" w:color="808080" w:sz="6" w:space="0"/>
          <w:bottom w:val="single" w:color="808080" w:sz="6" w:space="0"/>
          <w:right w:val="single" w:color="808080" w:sz="6" w:space="0"/>
          <w:insideH w:val="single" w:color="808080" w:sz="6" w:space="0"/>
          <w:insideV w:val="single" w:color="80808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9"/>
        <w:gridCol w:w="1986"/>
        <w:gridCol w:w="679"/>
        <w:gridCol w:w="680"/>
        <w:gridCol w:w="680"/>
        <w:gridCol w:w="680"/>
        <w:gridCol w:w="680"/>
        <w:gridCol w:w="680"/>
        <w:gridCol w:w="680"/>
        <w:gridCol w:w="2704"/>
      </w:tblGrid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</w:tblPrEx>
        <w:trPr>
          <w:trHeight w:val="546" w:hRule="atLeast"/>
        </w:trPr>
        <w:tc>
          <w:tcPr>
            <w:tcW w:w="10298" w:type="dxa"/>
            <w:gridSpan w:val="10"/>
            <w:vAlign w:val="top"/>
          </w:tcPr>
          <w:p>
            <w:pPr>
              <w:pStyle w:val="175"/>
              <w:spacing w:before="165" w:line="220" w:lineRule="auto"/>
              <w:ind w:left="2814"/>
            </w:pPr>
            <w:r>
              <w:rPr>
                <w:spacing w:val="-2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（八）其他评分参数评分参数评委打分公示详情信息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849" w:type="dxa"/>
            <w:vAlign w:val="top"/>
          </w:tcPr>
          <w:p>
            <w:pPr>
              <w:pStyle w:val="175"/>
              <w:spacing w:before="160" w:line="221" w:lineRule="auto"/>
              <w:ind w:left="0" w:leftChars="0" w:firstLine="0" w:firstLineChars="0"/>
              <w:jc w:val="center"/>
            </w:pPr>
            <w:r>
              <w:rPr>
                <w:spacing w:val="-2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序号</w:t>
            </w:r>
          </w:p>
        </w:tc>
        <w:tc>
          <w:tcPr>
            <w:tcW w:w="1986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投标人</w:t>
            </w:r>
          </w:p>
        </w:tc>
        <w:tc>
          <w:tcPr>
            <w:tcW w:w="679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1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28"/>
              </w:rPr>
              <w:t xml:space="preserve"> </w:t>
            </w:r>
            <w:r>
              <w:rPr>
                <w:spacing w:val="-11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</w:p>
        </w:tc>
        <w:tc>
          <w:tcPr>
            <w:tcW w:w="680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</w:p>
        </w:tc>
        <w:tc>
          <w:tcPr>
            <w:tcW w:w="680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</w:p>
        </w:tc>
        <w:tc>
          <w:tcPr>
            <w:tcW w:w="680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5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</w:p>
        </w:tc>
        <w:tc>
          <w:tcPr>
            <w:tcW w:w="680" w:type="dxa"/>
            <w:vAlign w:val="top"/>
          </w:tcPr>
          <w:p>
            <w:pPr>
              <w:pStyle w:val="175"/>
              <w:spacing w:before="160" w:line="220" w:lineRule="auto"/>
              <w:ind w:left="0" w:leftChars="0" w:right="3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</w:t>
            </w:r>
          </w:p>
        </w:tc>
        <w:tc>
          <w:tcPr>
            <w:tcW w:w="680" w:type="dxa"/>
            <w:vAlign w:val="top"/>
          </w:tcPr>
          <w:p>
            <w:pPr>
              <w:pStyle w:val="175"/>
              <w:spacing w:before="160" w:line="220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42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6</w:t>
            </w:r>
          </w:p>
        </w:tc>
        <w:tc>
          <w:tcPr>
            <w:tcW w:w="680" w:type="dxa"/>
            <w:vAlign w:val="top"/>
          </w:tcPr>
          <w:p>
            <w:pPr>
              <w:pStyle w:val="175"/>
              <w:spacing w:before="160" w:line="220" w:lineRule="auto"/>
              <w:ind w:left="0" w:leftChars="0" w:right="1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评委</w:t>
            </w:r>
            <w:r>
              <w:rPr>
                <w:spacing w:val="-39"/>
              </w:rPr>
              <w:t xml:space="preserve"> </w:t>
            </w: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7</w:t>
            </w:r>
          </w:p>
        </w:tc>
        <w:tc>
          <w:tcPr>
            <w:tcW w:w="2704" w:type="dxa"/>
            <w:vAlign w:val="top"/>
          </w:tcPr>
          <w:p>
            <w:pPr>
              <w:pStyle w:val="175"/>
              <w:spacing w:before="160" w:line="225" w:lineRule="auto"/>
              <w:ind w:left="0" w:leftChars="0" w:firstLine="0" w:firstLineChars="0"/>
              <w:jc w:val="center"/>
            </w:pPr>
            <w:r>
              <w:rPr>
                <w:spacing w:val="-3"/>
                <w14:textOutline w14:w="3810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汇总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9" w:type="dxa"/>
            <w:vAlign w:val="top"/>
          </w:tcPr>
          <w:p>
            <w:pPr>
              <w:pStyle w:val="175"/>
              <w:spacing w:before="228" w:line="182" w:lineRule="auto"/>
              <w:ind w:left="0" w:leftChars="0" w:firstLine="0" w:firstLineChars="0"/>
              <w:jc w:val="center"/>
            </w:pPr>
            <w:r>
              <w:t>1</w:t>
            </w:r>
          </w:p>
        </w:tc>
        <w:tc>
          <w:tcPr>
            <w:tcW w:w="19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吉林省长德新材科技股份有限公司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pStyle w:val="175"/>
              <w:spacing w:before="230" w:line="181" w:lineRule="auto"/>
              <w:ind w:left="0" w:leftChars="0" w:firstLine="0" w:firstLineChars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0.0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9" w:type="dxa"/>
            <w:vAlign w:val="top"/>
          </w:tcPr>
          <w:p>
            <w:pPr>
              <w:pStyle w:val="175"/>
              <w:spacing w:before="231" w:line="181" w:lineRule="auto"/>
              <w:ind w:left="0" w:leftChars="0" w:firstLine="0" w:firstLineChars="0"/>
              <w:jc w:val="center"/>
            </w:pPr>
            <w:r>
              <w:t>2</w:t>
            </w:r>
          </w:p>
        </w:tc>
        <w:tc>
          <w:tcPr>
            <w:tcW w:w="19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内蒙古晟泰节能材料有限公司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spacing w:before="231" w:line="181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0.0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9" w:type="dxa"/>
            <w:vAlign w:val="top"/>
          </w:tcPr>
          <w:p>
            <w:pPr>
              <w:pStyle w:val="175"/>
              <w:spacing w:before="233" w:line="181" w:lineRule="auto"/>
              <w:ind w:left="0" w:leftChars="0" w:firstLine="0" w:firstLineChars="0"/>
              <w:jc w:val="center"/>
            </w:pPr>
            <w:r>
              <w:t>3</w:t>
            </w:r>
          </w:p>
        </w:tc>
        <w:tc>
          <w:tcPr>
            <w:tcW w:w="19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河北鑫瑞得管道设备有限公司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spacing w:before="233" w:line="181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0.0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9" w:type="dxa"/>
            <w:vAlign w:val="top"/>
          </w:tcPr>
          <w:p>
            <w:pPr>
              <w:pStyle w:val="175"/>
              <w:spacing w:before="235" w:line="181" w:lineRule="auto"/>
              <w:ind w:left="0" w:leftChars="0" w:firstLine="0" w:firstLineChars="0"/>
              <w:jc w:val="center"/>
            </w:pPr>
            <w:r>
              <w:t>4</w:t>
            </w:r>
          </w:p>
        </w:tc>
        <w:tc>
          <w:tcPr>
            <w:tcW w:w="19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left="0" w:leftChars="0" w:right="0" w:rightChars="0" w:firstLine="0" w:firstLine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内蒙古伟之杰节能装备有限公司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spacing w:before="235" w:line="181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0.0</w:t>
            </w:r>
          </w:p>
        </w:tc>
      </w:tr>
      <w:tr>
        <w:tblPrEx>
          <w:tblBorders>
            <w:top w:val="single" w:color="808080" w:sz="6" w:space="0"/>
            <w:left w:val="single" w:color="808080" w:sz="6" w:space="0"/>
            <w:bottom w:val="single" w:color="808080" w:sz="6" w:space="0"/>
            <w:right w:val="single" w:color="808080" w:sz="6" w:space="0"/>
            <w:insideH w:val="single" w:color="808080" w:sz="6" w:space="0"/>
            <w:insideV w:val="single" w:color="80808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849" w:type="dxa"/>
            <w:vAlign w:val="top"/>
          </w:tcPr>
          <w:p>
            <w:pPr>
              <w:pStyle w:val="175"/>
              <w:spacing w:before="237" w:line="180" w:lineRule="auto"/>
              <w:ind w:left="0" w:leftChars="0" w:firstLine="0" w:firstLineChars="0"/>
              <w:jc w:val="center"/>
            </w:pPr>
            <w:r>
              <w:t>5</w:t>
            </w:r>
          </w:p>
        </w:tc>
        <w:tc>
          <w:tcPr>
            <w:tcW w:w="1986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bidi w:val="0"/>
              <w:spacing w:before="15" w:beforeAutospacing="0" w:line="15" w:lineRule="atLeast"/>
              <w:ind w:right="0" w:rightChars="0"/>
              <w:jc w:val="both"/>
            </w:pPr>
            <w:r>
              <w:rPr>
                <w:rFonts w:hint="default" w:ascii="宋体" w:hAnsi="宋体" w:eastAsia="宋体" w:cs="宋体"/>
                <w:snapToGrid w:val="0"/>
                <w:color w:val="000000"/>
                <w:spacing w:val="-2"/>
                <w:kern w:val="0"/>
                <w:sz w:val="21"/>
                <w:szCs w:val="21"/>
                <w:lang w:val="en-US" w:eastAsia="zh-CN" w:bidi="ar-SA"/>
              </w:rPr>
              <w:t>辽宁鸿鑫节能科技有限公司</w:t>
            </w:r>
          </w:p>
        </w:tc>
        <w:tc>
          <w:tcPr>
            <w:tcW w:w="6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704" w:type="dxa"/>
            <w:vAlign w:val="top"/>
          </w:tcPr>
          <w:p>
            <w:pPr>
              <w:spacing w:before="236" w:line="181" w:lineRule="auto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 w:bidi="ar-SA"/>
              </w:rPr>
              <w:t>0.0</w:t>
            </w:r>
          </w:p>
        </w:tc>
      </w:tr>
    </w:tbl>
    <w:p>
      <w:pPr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42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3850" w:firstLineChars="1375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招 标 人：呼和浩特市城发供热有限责任公司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090" w:firstLineChars="2175"/>
        <w:textAlignment w:val="auto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2024年4月23日</w:t>
      </w:r>
      <w:bookmarkStart w:id="0" w:name="_GoBack"/>
      <w:bookmarkEnd w:id="0"/>
    </w:p>
    <w:sectPr>
      <w:pgSz w:w="12240" w:h="15840"/>
      <w:pgMar w:top="1440" w:right="1134" w:bottom="1440" w:left="1134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panose1 w:val="02060409020205020404"/>
    <w:charset w:val="00"/>
    <w:family w:val="auto"/>
    <w:pitch w:val="default"/>
    <w:sig w:usb0="00000007" w:usb1="00000000" w:usb2="00000000" w:usb3="00000000" w:csb0="00000093" w:csb1="00000000"/>
  </w:font>
  <w:font w:name="ＭＳ 明朝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OTM4NTI3OWNiNTQ1YmM5MGZiMDJiYmVjN2JiNDgifQ=="/>
  </w:docVars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1AB4620"/>
    <w:rsid w:val="15485429"/>
    <w:rsid w:val="1FB97E47"/>
    <w:rsid w:val="36755864"/>
    <w:rsid w:val="376A543E"/>
    <w:rsid w:val="3A4D25A4"/>
    <w:rsid w:val="47C159B7"/>
    <w:rsid w:val="608216ED"/>
    <w:rsid w:val="743560E9"/>
    <w:rsid w:val="76D33CC8"/>
    <w:rsid w:val="7AB838CE"/>
    <w:rsid w:val="7AC4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paragraph" w:styleId="3">
    <w:name w:val="heading 1"/>
    <w:basedOn w:val="1"/>
    <w:next w:val="1"/>
    <w:link w:val="149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50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51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61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62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63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64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65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66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3">
    <w:name w:val="Default Paragraph Font"/>
    <w:semiHidden/>
    <w:unhideWhenUsed/>
    <w:qFormat/>
    <w:uiPriority w:val="1"/>
  </w:style>
  <w:style w:type="table" w:default="1" w:styleId="3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58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57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55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47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4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53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56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Normal (Web)"/>
    <w:basedOn w:val="1"/>
    <w:semiHidden/>
    <w:unhideWhenUsed/>
    <w:uiPriority w:val="99"/>
    <w:rPr>
      <w:sz w:val="24"/>
    </w:rPr>
  </w:style>
  <w:style w:type="paragraph" w:styleId="31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2">
    <w:name w:val="Title"/>
    <w:basedOn w:val="1"/>
    <w:next w:val="1"/>
    <w:link w:val="152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4">
    <w:name w:val="Table Grid"/>
    <w:basedOn w:val="3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5">
    <w:name w:val="Light Shading"/>
    <w:basedOn w:val="33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6">
    <w:name w:val="Light Shading Accent 1"/>
    <w:basedOn w:val="33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7">
    <w:name w:val="Light Shading Accent 2"/>
    <w:basedOn w:val="33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8">
    <w:name w:val="Light Shading Accent 3"/>
    <w:basedOn w:val="33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9">
    <w:name w:val="Light Shading Accent 4"/>
    <w:basedOn w:val="33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0">
    <w:name w:val="Light Shading Accent 5"/>
    <w:basedOn w:val="33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1">
    <w:name w:val="Light Shading Accent 6"/>
    <w:basedOn w:val="33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2">
    <w:name w:val="Light List"/>
    <w:basedOn w:val="33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3">
    <w:name w:val="Light List Accent 1"/>
    <w:basedOn w:val="33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4">
    <w:name w:val="Light List Accent 2"/>
    <w:basedOn w:val="33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5">
    <w:name w:val="Light List Accent 3"/>
    <w:basedOn w:val="33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6">
    <w:name w:val="Light List Accent 4"/>
    <w:basedOn w:val="33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7">
    <w:name w:val="Light List Accent 5"/>
    <w:basedOn w:val="33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8">
    <w:name w:val="Light List Accent 6"/>
    <w:basedOn w:val="33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9">
    <w:name w:val="Light Grid"/>
    <w:basedOn w:val="33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0">
    <w:name w:val="Light Grid Accent 1"/>
    <w:basedOn w:val="33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1">
    <w:name w:val="Light Grid Accent 2"/>
    <w:basedOn w:val="33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2">
    <w:name w:val="Light Grid Accent 3"/>
    <w:basedOn w:val="33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3">
    <w:name w:val="Light Grid Accent 4"/>
    <w:basedOn w:val="33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4">
    <w:name w:val="Light Grid Accent 5"/>
    <w:basedOn w:val="33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5">
    <w:name w:val="Light Grid Accent 6"/>
    <w:basedOn w:val="33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6">
    <w:name w:val="Medium Shading 1"/>
    <w:basedOn w:val="33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1"/>
    <w:basedOn w:val="33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2"/>
    <w:basedOn w:val="33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3"/>
    <w:basedOn w:val="33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4"/>
    <w:basedOn w:val="33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5"/>
    <w:basedOn w:val="33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1 Accent 6"/>
    <w:basedOn w:val="33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3">
    <w:name w:val="Medium Shading 2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1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2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3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4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5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6"/>
    <w:basedOn w:val="33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List 1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1">
    <w:name w:val="Medium List 1 Accent 1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2">
    <w:name w:val="Medium List 1 Accent 2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3">
    <w:name w:val="Medium List 1 Accent 3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4">
    <w:name w:val="Medium List 1 Accent 4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5">
    <w:name w:val="Medium List 1 Accent 5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6">
    <w:name w:val="Medium List 1 Accent 6"/>
    <w:basedOn w:val="33"/>
    <w:qFormat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7">
    <w:name w:val="Medium List 2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1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2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3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4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5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List 2 Accent 6"/>
    <w:basedOn w:val="33"/>
    <w:qFormat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4">
    <w:name w:val="Medium Grid 1"/>
    <w:basedOn w:val="33"/>
    <w:qFormat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5">
    <w:name w:val="Medium Grid 1 Accent 1"/>
    <w:basedOn w:val="33"/>
    <w:qFormat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6">
    <w:name w:val="Medium Grid 1 Accent 2"/>
    <w:basedOn w:val="33"/>
    <w:qFormat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7">
    <w:name w:val="Medium Grid 1 Accent 3"/>
    <w:basedOn w:val="33"/>
    <w:qFormat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8">
    <w:name w:val="Medium Grid 1 Accent 4"/>
    <w:basedOn w:val="33"/>
    <w:qFormat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9">
    <w:name w:val="Medium Grid 1 Accent 5"/>
    <w:basedOn w:val="33"/>
    <w:qFormat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90">
    <w:name w:val="Medium Grid 1 Accent 6"/>
    <w:basedOn w:val="33"/>
    <w:qFormat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1">
    <w:name w:val="Medium Grid 2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1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2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3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4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5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6"/>
    <w:basedOn w:val="33"/>
    <w:qFormat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3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9">
    <w:name w:val="Medium Grid 3 Accent 1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0">
    <w:name w:val="Medium Grid 3 Accent 2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1">
    <w:name w:val="Medium Grid 3 Accent 3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2">
    <w:name w:val="Medium Grid 3 Accent 4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3">
    <w:name w:val="Medium Grid 3 Accent 5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4">
    <w:name w:val="Medium Grid 3 Accent 6"/>
    <w:basedOn w:val="33"/>
    <w:qFormat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5">
    <w:name w:val="Dark List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6">
    <w:name w:val="Dark List Accent 1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7">
    <w:name w:val="Dark List Accent 2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8">
    <w:name w:val="Dark List Accent 3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9">
    <w:name w:val="Dark List Accent 4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0">
    <w:name w:val="Dark List Accent 5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1">
    <w:name w:val="Dark List Accent 6"/>
    <w:basedOn w:val="33"/>
    <w:qFormat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2">
    <w:name w:val="Colorful Shading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1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2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5">
    <w:name w:val="Colorful Shading Accent 3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6">
    <w:name w:val="Colorful Shading Accent 4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5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Shading Accent 6"/>
    <w:basedOn w:val="33"/>
    <w:qFormat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9">
    <w:name w:val="Colorful List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0">
    <w:name w:val="Colorful List Accent 1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1">
    <w:name w:val="Colorful List Accent 2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2">
    <w:name w:val="Colorful List Accent 3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3">
    <w:name w:val="Colorful List Accent 4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4">
    <w:name w:val="Colorful List Accent 5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5">
    <w:name w:val="Colorful List Accent 6"/>
    <w:basedOn w:val="33"/>
    <w:qFormat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6">
    <w:name w:val="Colorful Grid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7">
    <w:name w:val="Colorful Grid Accent 1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8">
    <w:name w:val="Colorful Grid Accent 2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9">
    <w:name w:val="Colorful Grid Accent 3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30">
    <w:name w:val="Colorful Grid Accent 4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1">
    <w:name w:val="Colorful Grid Accent 5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2">
    <w:name w:val="Colorful Grid Accent 6"/>
    <w:basedOn w:val="33"/>
    <w:qFormat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4">
    <w:name w:val="Strong"/>
    <w:basedOn w:val="133"/>
    <w:qFormat/>
    <w:uiPriority w:val="22"/>
    <w:rPr>
      <w:b/>
      <w:bCs/>
    </w:rPr>
  </w:style>
  <w:style w:type="character" w:styleId="135">
    <w:name w:val="FollowedHyperlink"/>
    <w:basedOn w:val="133"/>
    <w:semiHidden/>
    <w:unhideWhenUsed/>
    <w:uiPriority w:val="99"/>
    <w:rPr>
      <w:color w:val="800080"/>
      <w:u w:val="none"/>
    </w:rPr>
  </w:style>
  <w:style w:type="character" w:styleId="136">
    <w:name w:val="Emphasis"/>
    <w:basedOn w:val="133"/>
    <w:qFormat/>
    <w:uiPriority w:val="20"/>
    <w:rPr>
      <w:i/>
      <w:iCs/>
    </w:rPr>
  </w:style>
  <w:style w:type="character" w:styleId="137">
    <w:name w:val="HTML Definition"/>
    <w:basedOn w:val="133"/>
    <w:semiHidden/>
    <w:unhideWhenUsed/>
    <w:uiPriority w:val="99"/>
  </w:style>
  <w:style w:type="character" w:styleId="138">
    <w:name w:val="HTML Typewriter"/>
    <w:basedOn w:val="133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39">
    <w:name w:val="HTML Acronym"/>
    <w:basedOn w:val="133"/>
    <w:semiHidden/>
    <w:unhideWhenUsed/>
    <w:uiPriority w:val="99"/>
  </w:style>
  <w:style w:type="character" w:styleId="140">
    <w:name w:val="HTML Variable"/>
    <w:basedOn w:val="133"/>
    <w:semiHidden/>
    <w:unhideWhenUsed/>
    <w:uiPriority w:val="99"/>
  </w:style>
  <w:style w:type="character" w:styleId="141">
    <w:name w:val="Hyperlink"/>
    <w:basedOn w:val="133"/>
    <w:semiHidden/>
    <w:unhideWhenUsed/>
    <w:uiPriority w:val="99"/>
    <w:rPr>
      <w:color w:val="0000FF"/>
      <w:u w:val="none"/>
    </w:rPr>
  </w:style>
  <w:style w:type="character" w:styleId="142">
    <w:name w:val="HTML Code"/>
    <w:basedOn w:val="133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43">
    <w:name w:val="HTML Cite"/>
    <w:basedOn w:val="133"/>
    <w:semiHidden/>
    <w:unhideWhenUsed/>
    <w:uiPriority w:val="99"/>
  </w:style>
  <w:style w:type="character" w:styleId="144">
    <w:name w:val="HTML Keyboard"/>
    <w:basedOn w:val="133"/>
    <w:semiHidden/>
    <w:unhideWhenUsed/>
    <w:uiPriority w:val="99"/>
    <w:rPr>
      <w:rFonts w:hint="default" w:ascii="monospace" w:hAnsi="monospace" w:eastAsia="monospace" w:cs="monospace"/>
      <w:sz w:val="20"/>
    </w:rPr>
  </w:style>
  <w:style w:type="character" w:styleId="145">
    <w:name w:val="HTML Sample"/>
    <w:basedOn w:val="133"/>
    <w:semiHidden/>
    <w:unhideWhenUsed/>
    <w:uiPriority w:val="99"/>
    <w:rPr>
      <w:rFonts w:ascii="monospace" w:hAnsi="monospace" w:eastAsia="monospace" w:cs="monospace"/>
    </w:rPr>
  </w:style>
  <w:style w:type="character" w:customStyle="1" w:styleId="146">
    <w:name w:val="Header Char"/>
    <w:basedOn w:val="133"/>
    <w:link w:val="25"/>
    <w:qFormat/>
    <w:uiPriority w:val="99"/>
  </w:style>
  <w:style w:type="character" w:customStyle="1" w:styleId="147">
    <w:name w:val="Footer Char"/>
    <w:basedOn w:val="133"/>
    <w:link w:val="24"/>
    <w:qFormat/>
    <w:uiPriority w:val="99"/>
  </w:style>
  <w:style w:type="paragraph" w:styleId="14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49">
    <w:name w:val="Heading 1 Char"/>
    <w:basedOn w:val="133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50">
    <w:name w:val="Heading 2 Char"/>
    <w:basedOn w:val="13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51">
    <w:name w:val="Heading 3 Char"/>
    <w:basedOn w:val="133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2">
    <w:name w:val="Title Char"/>
    <w:basedOn w:val="133"/>
    <w:link w:val="32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53">
    <w:name w:val="Subtitle Char"/>
    <w:basedOn w:val="133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54">
    <w:name w:val="List Paragraph"/>
    <w:basedOn w:val="1"/>
    <w:qFormat/>
    <w:uiPriority w:val="34"/>
    <w:pPr>
      <w:ind w:left="720"/>
      <w:contextualSpacing/>
    </w:pPr>
  </w:style>
  <w:style w:type="character" w:customStyle="1" w:styleId="155">
    <w:name w:val="Body Text Char"/>
    <w:basedOn w:val="133"/>
    <w:link w:val="19"/>
    <w:qFormat/>
    <w:uiPriority w:val="99"/>
  </w:style>
  <w:style w:type="character" w:customStyle="1" w:styleId="156">
    <w:name w:val="Body Text 2 Char"/>
    <w:basedOn w:val="133"/>
    <w:link w:val="28"/>
    <w:qFormat/>
    <w:uiPriority w:val="99"/>
  </w:style>
  <w:style w:type="character" w:customStyle="1" w:styleId="157">
    <w:name w:val="Body Text 3 Char"/>
    <w:basedOn w:val="133"/>
    <w:link w:val="17"/>
    <w:qFormat/>
    <w:uiPriority w:val="99"/>
    <w:rPr>
      <w:sz w:val="16"/>
      <w:szCs w:val="16"/>
    </w:rPr>
  </w:style>
  <w:style w:type="character" w:customStyle="1" w:styleId="158">
    <w:name w:val="Macro Text Char"/>
    <w:basedOn w:val="133"/>
    <w:link w:val="2"/>
    <w:qFormat/>
    <w:uiPriority w:val="99"/>
    <w:rPr>
      <w:rFonts w:ascii="Courier" w:hAnsi="Courier"/>
      <w:sz w:val="20"/>
      <w:szCs w:val="20"/>
    </w:rPr>
  </w:style>
  <w:style w:type="paragraph" w:styleId="159">
    <w:name w:val="Quote"/>
    <w:basedOn w:val="1"/>
    <w:next w:val="1"/>
    <w:link w:val="160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60">
    <w:name w:val="Quote Char"/>
    <w:basedOn w:val="133"/>
    <w:link w:val="15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61">
    <w:name w:val="Heading 4 Char"/>
    <w:basedOn w:val="133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2">
    <w:name w:val="Heading 5 Char"/>
    <w:basedOn w:val="133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63">
    <w:name w:val="Heading 6 Char"/>
    <w:basedOn w:val="133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64">
    <w:name w:val="Heading 7 Char"/>
    <w:basedOn w:val="133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65">
    <w:name w:val="Heading 8 Char"/>
    <w:basedOn w:val="133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66">
    <w:name w:val="Heading 9 Char"/>
    <w:basedOn w:val="133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67">
    <w:name w:val="Intense Quote"/>
    <w:basedOn w:val="1"/>
    <w:next w:val="1"/>
    <w:link w:val="168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8">
    <w:name w:val="Intense Quote Char"/>
    <w:basedOn w:val="133"/>
    <w:link w:val="167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9">
    <w:name w:val="Subtle Emphasis"/>
    <w:basedOn w:val="133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70">
    <w:name w:val="Intense Emphasis"/>
    <w:basedOn w:val="133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71">
    <w:name w:val="Subtle Reference"/>
    <w:basedOn w:val="133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72">
    <w:name w:val="Intense Reference"/>
    <w:basedOn w:val="133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73">
    <w:name w:val="Book Title"/>
    <w:basedOn w:val="133"/>
    <w:qFormat/>
    <w:uiPriority w:val="33"/>
    <w:rPr>
      <w:b/>
      <w:bCs/>
      <w:smallCaps/>
      <w:spacing w:val="5"/>
    </w:rPr>
  </w:style>
  <w:style w:type="paragraph" w:customStyle="1" w:styleId="174">
    <w:name w:val="TOC Heading"/>
    <w:basedOn w:val="3"/>
    <w:next w:val="1"/>
    <w:semiHidden/>
    <w:unhideWhenUsed/>
    <w:qFormat/>
    <w:uiPriority w:val="39"/>
    <w:pPr>
      <w:outlineLvl w:val="9"/>
    </w:pPr>
  </w:style>
  <w:style w:type="paragraph" w:customStyle="1" w:styleId="175">
    <w:name w:val="Table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7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0</Words>
  <Characters>0</Characters>
  <Lines>0</Lines>
  <Paragraphs>0</Paragraphs>
  <TotalTime>24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Administrator</cp:lastModifiedBy>
  <dcterms:modified xsi:type="dcterms:W3CDTF">2024-04-23T01:12:54Z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1B7A0841476B4AA08CAFEE1EF27789E1_13</vt:lpwstr>
  </property>
</Properties>
</file>