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D7" w:rsidRDefault="003C36D7" w:rsidP="003C36D7">
      <w:pPr>
        <w:pStyle w:val="3"/>
        <w:widowControl/>
        <w:spacing w:beforeAutospacing="0" w:afterAutospacing="0" w:line="480" w:lineRule="atLeast"/>
        <w:rPr>
          <w:rFonts w:ascii="黑体" w:eastAsia="黑体" w:hAnsi="黑体" w:cs="黑体" w:hint="default"/>
          <w:b w:val="0"/>
          <w:bCs w:val="0"/>
          <w:color w:val="000000" w:themeColor="text1"/>
          <w:sz w:val="32"/>
          <w:szCs w:val="32"/>
        </w:rPr>
      </w:pPr>
      <w:r>
        <w:rPr>
          <w:rFonts w:ascii="黑体" w:eastAsia="黑体" w:hAnsi="黑体" w:cs="黑体"/>
          <w:b w:val="0"/>
          <w:bCs w:val="0"/>
          <w:color w:val="000000" w:themeColor="text1"/>
          <w:sz w:val="32"/>
          <w:szCs w:val="32"/>
        </w:rPr>
        <w:t>附件：</w:t>
      </w:r>
    </w:p>
    <w:p w:rsidR="003C36D7" w:rsidRDefault="003C36D7" w:rsidP="003C36D7">
      <w:pPr>
        <w:pStyle w:val="3"/>
        <w:widowControl/>
        <w:spacing w:beforeAutospacing="0" w:afterAutospacing="0" w:line="480" w:lineRule="atLeast"/>
        <w:jc w:val="center"/>
        <w:rPr>
          <w:rFonts w:ascii="方正小标宋简体" w:eastAsia="方正小标宋简体" w:hAnsi="方正小标宋简体" w:cs="方正小标宋简体" w:hint="default"/>
          <w:b w:val="0"/>
          <w:bCs w:val="0"/>
          <w:color w:val="000000" w:themeColor="text1"/>
          <w:sz w:val="36"/>
          <w:szCs w:val="36"/>
        </w:rPr>
      </w:pPr>
      <w:r>
        <w:rPr>
          <w:rFonts w:ascii="方正小标宋简体" w:eastAsia="方正小标宋简体" w:hAnsi="方正小标宋简体" w:cs="方正小标宋简体"/>
          <w:b w:val="0"/>
          <w:bCs w:val="0"/>
          <w:color w:val="000000" w:themeColor="text1"/>
          <w:sz w:val="36"/>
          <w:szCs w:val="36"/>
        </w:rPr>
        <w:t>呼和浩特市公共资源交易平台委托招标规程</w:t>
      </w:r>
    </w:p>
    <w:p w:rsidR="003C36D7" w:rsidRDefault="003C36D7" w:rsidP="003C36D7">
      <w:pPr>
        <w:pStyle w:val="3"/>
        <w:widowControl/>
        <w:spacing w:beforeAutospacing="0" w:afterAutospacing="0" w:line="480" w:lineRule="atLeast"/>
        <w:jc w:val="center"/>
        <w:rPr>
          <w:rFonts w:ascii="方正小标宋简体" w:eastAsia="方正小标宋简体" w:hAnsi="方正小标宋简体" w:cs="方正小标宋简体" w:hint="default"/>
          <w:b w:val="0"/>
          <w:bCs w:val="0"/>
          <w:color w:val="000000" w:themeColor="text1"/>
          <w:sz w:val="36"/>
          <w:szCs w:val="36"/>
        </w:rPr>
      </w:pPr>
      <w:r>
        <w:rPr>
          <w:rFonts w:ascii="方正小标宋简体" w:eastAsia="方正小标宋简体" w:hAnsi="方正小标宋简体" w:cs="方正小标宋简体"/>
          <w:b w:val="0"/>
          <w:bCs w:val="0"/>
          <w:color w:val="000000" w:themeColor="text1"/>
          <w:sz w:val="36"/>
          <w:szCs w:val="36"/>
        </w:rPr>
        <w:t>（试行）</w:t>
      </w:r>
    </w:p>
    <w:p w:rsidR="003C36D7" w:rsidRDefault="003C36D7" w:rsidP="003C36D7"/>
    <w:p w:rsidR="003C36D7" w:rsidRDefault="003C36D7" w:rsidP="003C36D7">
      <w:pPr>
        <w:pStyle w:val="a3"/>
        <w:widowControl/>
        <w:wordWrap w:val="0"/>
        <w:spacing w:beforeAutospacing="0" w:afterAutospacing="0" w:line="560" w:lineRule="exact"/>
        <w:jc w:val="both"/>
        <w:rPr>
          <w:rFonts w:ascii="Calibri" w:hAnsi="Calibri" w:cs="Calibri"/>
          <w:color w:val="000000" w:themeColor="text1"/>
          <w:sz w:val="21"/>
          <w:szCs w:val="21"/>
        </w:rPr>
      </w:pPr>
      <w:r>
        <w:rPr>
          <w:rFonts w:ascii="黑体" w:eastAsia="黑体" w:hAnsi="宋体" w:cs="黑体"/>
          <w:color w:val="000000" w:themeColor="text1"/>
          <w:sz w:val="32"/>
          <w:szCs w:val="32"/>
        </w:rPr>
        <w:t>    </w:t>
      </w:r>
      <w:r>
        <w:rPr>
          <w:rFonts w:ascii="黑体" w:eastAsia="黑体" w:hAnsi="宋体" w:cs="黑体"/>
          <w:color w:val="000000" w:themeColor="text1"/>
          <w:sz w:val="32"/>
          <w:szCs w:val="32"/>
        </w:rPr>
        <w:t>第一条</w:t>
      </w:r>
      <w:r>
        <w:rPr>
          <w:rFonts w:ascii="黑体" w:eastAsia="黑体" w:hAnsi="宋体" w:cs="黑体" w:hint="eastAsia"/>
          <w:color w:val="000000" w:themeColor="text1"/>
          <w:sz w:val="32"/>
          <w:szCs w:val="32"/>
        </w:rPr>
        <w:t> </w:t>
      </w:r>
      <w:r>
        <w:rPr>
          <w:rFonts w:ascii="仿宋" w:eastAsia="仿宋" w:hAnsi="仿宋" w:cs="仿宋"/>
          <w:color w:val="000000" w:themeColor="text1"/>
          <w:sz w:val="32"/>
          <w:szCs w:val="32"/>
        </w:rPr>
        <w:t>为</w:t>
      </w:r>
      <w:r>
        <w:rPr>
          <w:rFonts w:ascii="仿宋" w:eastAsia="仿宋" w:hAnsi="仿宋" w:cs="仿宋" w:hint="eastAsia"/>
          <w:color w:val="000000" w:themeColor="text1"/>
          <w:sz w:val="32"/>
          <w:szCs w:val="32"/>
        </w:rPr>
        <w:t>扩大呼和浩特市公共资源交易服务中心（以下简称市交易服务中心）服务覆盖范围，保障我市</w:t>
      </w:r>
      <w:r>
        <w:rPr>
          <w:rFonts w:ascii="仿宋" w:eastAsia="仿宋" w:hAnsi="仿宋" w:cs="仿宋" w:hint="eastAsia"/>
          <w:sz w:val="32"/>
          <w:szCs w:val="32"/>
        </w:rPr>
        <w:t>公共资源交易</w:t>
      </w:r>
      <w:r>
        <w:rPr>
          <w:rFonts w:ascii="仿宋" w:eastAsia="仿宋" w:hAnsi="仿宋" w:cs="仿宋" w:hint="eastAsia"/>
          <w:color w:val="000000" w:themeColor="text1"/>
          <w:sz w:val="32"/>
          <w:szCs w:val="32"/>
        </w:rPr>
        <w:t>工作有序进行，依据《中华人民共和国招投标法》、《中华人民共和国招投标法实施条例》、《必须招标的工程项目规定》（国家发展和改革委员会第16号令）、《内蒙古公共资源交易管理办法》、《呼和浩特市公共资源交易监督管理办法》等有关规定，推行以委托方式进入公共资源交易平台服务模式。</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黑体" w:eastAsia="黑体" w:hAnsi="宋体" w:cs="黑体" w:hint="eastAsia"/>
          <w:color w:val="000000" w:themeColor="text1"/>
          <w:sz w:val="32"/>
          <w:szCs w:val="32"/>
        </w:rPr>
        <w:t>第二条</w:t>
      </w:r>
      <w:r>
        <w:rPr>
          <w:rFonts w:ascii="仿宋" w:eastAsia="仿宋" w:hAnsi="仿宋" w:cs="仿宋" w:hint="eastAsia"/>
          <w:color w:val="000000" w:themeColor="text1"/>
          <w:sz w:val="32"/>
          <w:szCs w:val="32"/>
        </w:rPr>
        <w:t> 本规程适用于进入呼和浩特市公共资源交易平台开展交易（以下简称进入平台交易）的使用国有资金或政府投资项目全流程组织与实施。“委托招标项目”是指国家法律及相关规定允许可不进行公开招标的各类公共资源交易，依照相关规定可由招标人以委托形式自主选择进入呼和浩特市公共资源交易服务中心（以下简称市交易服务中心）进行公开招标交易的项目。市交易服务中心在优先保障依法必须招标政府投资或使用国有资金的大型基础设施、公用事业等关系社会公共利益、公众安全项目的交易需求的前提下，依照招标人委托提供公共资源交易服务。</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黑体" w:eastAsia="黑体" w:hAnsi="宋体" w:cs="黑体" w:hint="eastAsia"/>
          <w:color w:val="000000" w:themeColor="text1"/>
          <w:sz w:val="32"/>
          <w:szCs w:val="32"/>
        </w:rPr>
        <w:t>第三条</w:t>
      </w:r>
      <w:r>
        <w:rPr>
          <w:rFonts w:ascii="黑体" w:eastAsia="黑体" w:hAnsi="宋体" w:cs="黑体" w:hint="eastAsia"/>
          <w:color w:val="000000" w:themeColor="text1"/>
          <w:sz w:val="32"/>
          <w:szCs w:val="32"/>
        </w:rPr>
        <w:t> </w:t>
      </w:r>
      <w:r>
        <w:rPr>
          <w:rFonts w:ascii="仿宋" w:eastAsia="仿宋" w:hAnsi="仿宋" w:cs="仿宋" w:hint="eastAsia"/>
          <w:color w:val="000000" w:themeColor="text1"/>
          <w:sz w:val="32"/>
          <w:szCs w:val="32"/>
        </w:rPr>
        <w:t>委托招标项目遵循自愿委托、分类指导、参照管理、统一规范、全流程电子化的原则。</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黑体" w:eastAsia="黑体" w:hAnsi="宋体" w:cs="黑体" w:hint="eastAsia"/>
          <w:color w:val="000000" w:themeColor="text1"/>
          <w:sz w:val="32"/>
          <w:szCs w:val="32"/>
        </w:rPr>
        <w:lastRenderedPageBreak/>
        <w:t>第四条</w:t>
      </w:r>
      <w:r>
        <w:rPr>
          <w:rFonts w:ascii="黑体" w:eastAsia="黑体" w:hAnsi="宋体" w:cs="黑体" w:hint="eastAsia"/>
          <w:color w:val="000000" w:themeColor="text1"/>
          <w:sz w:val="32"/>
          <w:szCs w:val="32"/>
        </w:rPr>
        <w:t> </w:t>
      </w:r>
      <w:r>
        <w:rPr>
          <w:rFonts w:ascii="仿宋" w:eastAsia="仿宋" w:hAnsi="仿宋" w:cs="仿宋" w:hint="eastAsia"/>
          <w:color w:val="000000" w:themeColor="text1"/>
          <w:sz w:val="32"/>
          <w:szCs w:val="32"/>
        </w:rPr>
        <w:t>进入平台交易的必须招标项目参照依法必须招标项目管理，应当采用公开招标方式。</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委托招标项目需要履行审批手续的，应当先履行审批手续取得批准。</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委托招标项目的招标文件，应当使用国家规定的标准文本，根据项目的具体特点与实际需要编制。招标文件中资质、业绩等投标人资格条件要求和评标标准应当以符合项目具体特点和满足实际需要为限度审慎设置，不得通过设置不合理条件排斥或者限制潜在投标人。</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招标活动全过程应由相关行政监督部门依法实施监督，呼和浩特市公共资源交易监督管理局对委托招标项目施行综合监督管理，市交易服务中心依法依规履行组织、实施及服务职责。</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黑体" w:eastAsia="黑体" w:hAnsi="宋体" w:cs="黑体" w:hint="eastAsia"/>
          <w:color w:val="000000" w:themeColor="text1"/>
          <w:sz w:val="32"/>
          <w:szCs w:val="32"/>
        </w:rPr>
        <w:t>第五条</w:t>
      </w:r>
      <w:r>
        <w:rPr>
          <w:rFonts w:ascii="黑体" w:eastAsia="黑体" w:hAnsi="宋体" w:cs="黑体" w:hint="eastAsia"/>
          <w:color w:val="000000" w:themeColor="text1"/>
          <w:sz w:val="32"/>
          <w:szCs w:val="32"/>
        </w:rPr>
        <w:t> </w:t>
      </w:r>
      <w:r>
        <w:rPr>
          <w:rFonts w:ascii="仿宋" w:eastAsia="仿宋" w:hAnsi="仿宋" w:cs="仿宋" w:hint="eastAsia"/>
          <w:color w:val="000000" w:themeColor="text1"/>
          <w:sz w:val="32"/>
          <w:szCs w:val="32"/>
        </w:rPr>
        <w:t>进入平台交易的委托招标项目招标人应提供以下资料：</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（一）招标人依法组建证明；</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（二）行政审批部门审批或核准（立项）文件；</w:t>
      </w:r>
    </w:p>
    <w:p w:rsidR="003C36D7" w:rsidRDefault="003C36D7" w:rsidP="003C36D7">
      <w:pPr>
        <w:pStyle w:val="a3"/>
        <w:widowControl/>
        <w:wordWrap w:val="0"/>
        <w:spacing w:beforeAutospacing="0" w:afterAutospacing="0" w:line="560" w:lineRule="exact"/>
        <w:ind w:firstLineChars="200"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（三）具备招标项目的相应资金或资金来源落实证明文件；</w:t>
      </w:r>
    </w:p>
    <w:p w:rsidR="003C36D7" w:rsidRDefault="003C36D7" w:rsidP="003C36D7">
      <w:pPr>
        <w:pStyle w:val="a3"/>
        <w:widowControl/>
        <w:wordWrap w:val="0"/>
        <w:spacing w:beforeAutospacing="0" w:afterAutospacing="0" w:line="560" w:lineRule="exact"/>
        <w:ind w:firstLineChars="200"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（四）工程规划、国有建设用地需审批的应当完成审批；</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（五）招标代理合同或招标人具备自主招标能力证明；</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（六）委托招标项目进入市公共资源交易平台委托书；</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（七）其它应当依法完成的审批、备案、核准证明文件。</w:t>
      </w:r>
    </w:p>
    <w:p w:rsidR="003C36D7" w:rsidRDefault="003C36D7" w:rsidP="003C36D7">
      <w:pPr>
        <w:pStyle w:val="a3"/>
        <w:widowControl/>
        <w:wordWrap w:val="0"/>
        <w:spacing w:beforeAutospacing="0" w:afterAutospacing="0" w:line="560" w:lineRule="exact"/>
        <w:ind w:firstLine="640"/>
        <w:rPr>
          <w:rFonts w:ascii="Calibri" w:eastAsia="仿宋" w:hAnsi="Calibri" w:cs="Calibri"/>
          <w:color w:val="000000" w:themeColor="text1"/>
          <w:sz w:val="21"/>
          <w:szCs w:val="21"/>
        </w:rPr>
      </w:pPr>
      <w:r>
        <w:rPr>
          <w:rFonts w:ascii="黑体" w:eastAsia="黑体" w:hAnsi="宋体" w:cs="黑体" w:hint="eastAsia"/>
          <w:color w:val="000000" w:themeColor="text1"/>
          <w:sz w:val="32"/>
          <w:szCs w:val="32"/>
        </w:rPr>
        <w:lastRenderedPageBreak/>
        <w:t>第六条</w:t>
      </w:r>
      <w:r>
        <w:rPr>
          <w:rFonts w:ascii="仿宋" w:eastAsia="仿宋" w:hAnsi="仿宋" w:cs="仿宋" w:hint="eastAsia"/>
          <w:b/>
          <w:bCs/>
          <w:color w:val="000000" w:themeColor="text1"/>
          <w:sz w:val="32"/>
          <w:szCs w:val="32"/>
        </w:rPr>
        <w:t> </w:t>
      </w:r>
      <w:r>
        <w:rPr>
          <w:rFonts w:ascii="仿宋" w:eastAsia="仿宋" w:hAnsi="仿宋" w:cs="仿宋" w:hint="eastAsia"/>
          <w:color w:val="000000" w:themeColor="text1"/>
          <w:sz w:val="32"/>
          <w:szCs w:val="32"/>
        </w:rPr>
        <w:t>进入平台交易的委托招标项目有下列情形之一的，委托不予接受；</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（一）本规程第五条中应当提供的资料提供不齐全、不符合相关要求的；</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（二）交易服务中心开评标场地排期已饱和，无法按期提供交易服务的；</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（三）委托招标项目无行政监督部门监管或监督权属不明确的；</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（四）自治区综合评标专家</w:t>
      </w:r>
      <w:proofErr w:type="gramStart"/>
      <w:r>
        <w:rPr>
          <w:rFonts w:ascii="仿宋" w:eastAsia="仿宋" w:hAnsi="仿宋" w:cs="仿宋" w:hint="eastAsia"/>
          <w:color w:val="000000" w:themeColor="text1"/>
          <w:sz w:val="32"/>
          <w:szCs w:val="32"/>
        </w:rPr>
        <w:t>库无法</w:t>
      </w:r>
      <w:proofErr w:type="gramEnd"/>
      <w:r>
        <w:rPr>
          <w:rFonts w:ascii="仿宋" w:eastAsia="仿宋" w:hAnsi="仿宋" w:cs="仿宋" w:hint="eastAsia"/>
          <w:color w:val="000000" w:themeColor="text1"/>
          <w:sz w:val="32"/>
          <w:szCs w:val="32"/>
        </w:rPr>
        <w:t>满足委托项目所需评标（评审）专业，且无相近替换专业类别无法组建评标委员会的；</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（五）已进入平台交易的项目无正当理由一个月内未按流程进行招投标工作的，或经催告后3个工作日内无正当理由仍不进行交易的；</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（六）其他不符合交易条件的情形。</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黑体" w:eastAsia="黑体" w:hAnsi="宋体" w:cs="黑体" w:hint="eastAsia"/>
          <w:color w:val="000000" w:themeColor="text1"/>
          <w:sz w:val="32"/>
          <w:szCs w:val="32"/>
        </w:rPr>
        <w:t>第七条</w:t>
      </w:r>
      <w:r>
        <w:rPr>
          <w:rFonts w:ascii="黑体" w:eastAsia="黑体" w:hAnsi="宋体" w:cs="黑体" w:hint="eastAsia"/>
          <w:color w:val="000000" w:themeColor="text1"/>
          <w:sz w:val="32"/>
          <w:szCs w:val="32"/>
        </w:rPr>
        <w:t> </w:t>
      </w:r>
      <w:r>
        <w:rPr>
          <w:rFonts w:ascii="仿宋" w:eastAsia="仿宋" w:hAnsi="仿宋" w:cs="仿宋" w:hint="eastAsia"/>
          <w:color w:val="000000" w:themeColor="text1"/>
          <w:sz w:val="32"/>
          <w:szCs w:val="32"/>
        </w:rPr>
        <w:t>进入平台交易的委托招标项目有下列情形之一的，委托交易暂停：</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（一）因电力、网络故障或其他计算机软硬件异常情况致使交易不能进行的，或者因不可抗力致使交易活动暂不能进行的；</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（二）交易过程中，利害关系人对项目交易环节提出异议，尚未依法排除的；</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t>（三）</w:t>
      </w:r>
      <w:proofErr w:type="gramStart"/>
      <w:r>
        <w:rPr>
          <w:rFonts w:ascii="仿宋" w:eastAsia="仿宋" w:hAnsi="仿宋" w:cs="仿宋" w:hint="eastAsia"/>
          <w:color w:val="000000" w:themeColor="text1"/>
          <w:sz w:val="32"/>
          <w:szCs w:val="32"/>
        </w:rPr>
        <w:t>违反市</w:t>
      </w:r>
      <w:proofErr w:type="gramEnd"/>
      <w:r>
        <w:rPr>
          <w:rFonts w:ascii="仿宋" w:eastAsia="仿宋" w:hAnsi="仿宋" w:cs="仿宋" w:hint="eastAsia"/>
          <w:color w:val="000000" w:themeColor="text1"/>
          <w:sz w:val="32"/>
          <w:szCs w:val="32"/>
        </w:rPr>
        <w:t>公共资源交易监督管理局相关规定未及时改正的；</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仿宋" w:eastAsia="仿宋" w:hAnsi="仿宋" w:cs="仿宋" w:hint="eastAsia"/>
          <w:color w:val="000000" w:themeColor="text1"/>
          <w:sz w:val="32"/>
          <w:szCs w:val="32"/>
        </w:rPr>
        <w:lastRenderedPageBreak/>
        <w:t>（四）依法依规应当暂停交易的其他情形。</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黑体" w:eastAsia="黑体" w:hAnsi="宋体" w:cs="黑体" w:hint="eastAsia"/>
          <w:color w:val="000000" w:themeColor="text1"/>
          <w:sz w:val="32"/>
          <w:szCs w:val="32"/>
        </w:rPr>
        <w:t>第八条</w:t>
      </w:r>
      <w:r>
        <w:rPr>
          <w:rFonts w:ascii="仿宋" w:eastAsia="仿宋" w:hAnsi="仿宋" w:cs="仿宋" w:hint="eastAsia"/>
          <w:color w:val="000000" w:themeColor="text1"/>
          <w:sz w:val="32"/>
          <w:szCs w:val="32"/>
        </w:rPr>
        <w:t> 招标人应当及时处理交易活动过程中出现的质疑、异议，行政监督部门应当及时处理各类投诉或异常情况。对可能影响交易进程、结果或者造成严重损失的，交易活动应及时暂停或中（终）止，并通知市交易服务中心启动项目暂停或中（终）止。有关质疑（异议）及投诉内容、招标人与行政监督部门的答复和异常情况处理流程及结果等相关记录均抄送市交易服务中心留存。</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黑体" w:eastAsia="黑体" w:hAnsi="宋体" w:cs="黑体" w:hint="eastAsia"/>
          <w:color w:val="000000" w:themeColor="text1"/>
          <w:sz w:val="32"/>
          <w:szCs w:val="32"/>
        </w:rPr>
        <w:t>第九条</w:t>
      </w:r>
      <w:r>
        <w:rPr>
          <w:rFonts w:ascii="仿宋" w:eastAsia="仿宋" w:hAnsi="仿宋" w:cs="仿宋" w:hint="eastAsia"/>
          <w:color w:val="000000" w:themeColor="text1"/>
          <w:sz w:val="32"/>
          <w:szCs w:val="32"/>
        </w:rPr>
        <w:t> 市交易服务中心对进入平台交易的委托招标项目进行全过程见证服务并对开评标现场施行组织与管理，实时记录交易各方违反相关管理制度的行为，并视情节采取提醒、制止、纠正等措施。对涉嫌违法违规的行为，市交易服务中心应及时上报并配合市公共资源交易监督管理局、行政监督部门处理。</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黑体" w:eastAsia="黑体" w:hAnsi="宋体" w:cs="黑体" w:hint="eastAsia"/>
          <w:color w:val="000000" w:themeColor="text1"/>
          <w:sz w:val="32"/>
          <w:szCs w:val="32"/>
        </w:rPr>
        <w:t>第十条</w:t>
      </w:r>
      <w:r>
        <w:rPr>
          <w:rFonts w:ascii="仿宋" w:eastAsia="仿宋" w:hAnsi="仿宋" w:cs="仿宋" w:hint="eastAsia"/>
          <w:color w:val="000000" w:themeColor="text1"/>
          <w:sz w:val="32"/>
          <w:szCs w:val="32"/>
        </w:rPr>
        <w:t> 进入平台交易的委托招标项目交易各方应各尽其责，确保项目交易在符合有关法律、法规及市公共资源交易监督管理局相关管理制度的前提下实施。</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黑体" w:eastAsia="黑体" w:hAnsi="宋体" w:cs="黑体" w:hint="eastAsia"/>
          <w:color w:val="000000" w:themeColor="text1"/>
          <w:sz w:val="32"/>
          <w:szCs w:val="32"/>
        </w:rPr>
        <w:t>第十一条</w:t>
      </w:r>
      <w:r>
        <w:rPr>
          <w:rFonts w:ascii="黑体" w:eastAsia="黑体" w:hAnsi="宋体" w:cs="黑体" w:hint="eastAsia"/>
          <w:color w:val="000000" w:themeColor="text1"/>
          <w:sz w:val="32"/>
          <w:szCs w:val="32"/>
        </w:rPr>
        <w:t> </w:t>
      </w:r>
      <w:r>
        <w:rPr>
          <w:rFonts w:ascii="仿宋" w:eastAsia="仿宋" w:hAnsi="仿宋" w:cs="仿宋" w:hint="eastAsia"/>
          <w:color w:val="000000" w:themeColor="text1"/>
          <w:sz w:val="32"/>
          <w:szCs w:val="32"/>
        </w:rPr>
        <w:t>法律法规对有关委托招标项目交易另有规定的，从其规定。</w:t>
      </w: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r>
        <w:rPr>
          <w:rFonts w:ascii="黑体" w:eastAsia="黑体" w:hAnsi="宋体" w:cs="黑体" w:hint="eastAsia"/>
          <w:color w:val="000000" w:themeColor="text1"/>
          <w:sz w:val="32"/>
          <w:szCs w:val="32"/>
        </w:rPr>
        <w:t>第十二条</w:t>
      </w:r>
      <w:r>
        <w:rPr>
          <w:rFonts w:ascii="黑体" w:eastAsia="黑体" w:hAnsi="宋体" w:cs="黑体" w:hint="eastAsia"/>
          <w:color w:val="000000" w:themeColor="text1"/>
          <w:sz w:val="32"/>
          <w:szCs w:val="32"/>
        </w:rPr>
        <w:t> </w:t>
      </w:r>
      <w:r>
        <w:rPr>
          <w:rFonts w:ascii="仿宋" w:eastAsia="仿宋" w:hAnsi="仿宋" w:cs="仿宋" w:hint="eastAsia"/>
          <w:color w:val="000000" w:themeColor="text1"/>
          <w:sz w:val="32"/>
          <w:szCs w:val="32"/>
        </w:rPr>
        <w:t>本规程由呼和浩特市公共资源交易服务中心负责解释。</w:t>
      </w:r>
    </w:p>
    <w:p w:rsidR="003C36D7" w:rsidRDefault="003C36D7" w:rsidP="003C36D7">
      <w:pPr>
        <w:pStyle w:val="a3"/>
        <w:widowControl/>
        <w:wordWrap w:val="0"/>
        <w:spacing w:beforeAutospacing="0" w:afterAutospacing="0" w:line="560" w:lineRule="exact"/>
        <w:ind w:firstLine="640"/>
        <w:rPr>
          <w:rFonts w:ascii="仿宋" w:eastAsia="仿宋" w:hAnsi="仿宋" w:cs="仿宋" w:hint="eastAsia"/>
          <w:color w:val="000000" w:themeColor="text1"/>
          <w:sz w:val="32"/>
          <w:szCs w:val="32"/>
        </w:rPr>
      </w:pPr>
      <w:r>
        <w:rPr>
          <w:rFonts w:ascii="黑体" w:eastAsia="黑体" w:hAnsi="宋体" w:cs="黑体" w:hint="eastAsia"/>
          <w:color w:val="000000" w:themeColor="text1"/>
          <w:sz w:val="32"/>
          <w:szCs w:val="32"/>
        </w:rPr>
        <w:t>第十三条</w:t>
      </w:r>
      <w:r>
        <w:rPr>
          <w:rFonts w:ascii="黑体" w:eastAsia="黑体" w:hAnsi="宋体" w:cs="黑体" w:hint="eastAsia"/>
          <w:color w:val="000000" w:themeColor="text1"/>
          <w:sz w:val="32"/>
          <w:szCs w:val="32"/>
        </w:rPr>
        <w:t> </w:t>
      </w:r>
      <w:r>
        <w:rPr>
          <w:rFonts w:ascii="仿宋" w:eastAsia="仿宋" w:hAnsi="仿宋" w:cs="仿宋" w:hint="eastAsia"/>
          <w:color w:val="000000" w:themeColor="text1"/>
          <w:sz w:val="32"/>
          <w:szCs w:val="32"/>
        </w:rPr>
        <w:t>本规程自印发之日起施行。</w:t>
      </w:r>
    </w:p>
    <w:p w:rsidR="003C36D7" w:rsidRDefault="003C36D7" w:rsidP="003C36D7">
      <w:pPr>
        <w:pStyle w:val="a3"/>
        <w:widowControl/>
        <w:wordWrap w:val="0"/>
        <w:spacing w:beforeAutospacing="0" w:afterAutospacing="0" w:line="560" w:lineRule="exact"/>
        <w:ind w:firstLine="640"/>
        <w:rPr>
          <w:rFonts w:ascii="仿宋" w:eastAsia="仿宋" w:hAnsi="仿宋" w:cs="仿宋" w:hint="eastAsia"/>
          <w:color w:val="000000" w:themeColor="text1"/>
          <w:sz w:val="32"/>
          <w:szCs w:val="32"/>
        </w:rPr>
      </w:pPr>
    </w:p>
    <w:p w:rsidR="003C36D7" w:rsidRDefault="003C36D7" w:rsidP="003C36D7">
      <w:pPr>
        <w:pStyle w:val="a3"/>
        <w:widowControl/>
        <w:wordWrap w:val="0"/>
        <w:spacing w:beforeAutospacing="0" w:afterAutospacing="0" w:line="560" w:lineRule="exact"/>
        <w:ind w:firstLine="640"/>
        <w:rPr>
          <w:rFonts w:ascii="Calibri" w:hAnsi="Calibri" w:cs="Calibri"/>
          <w:color w:val="000000" w:themeColor="text1"/>
          <w:sz w:val="21"/>
          <w:szCs w:val="21"/>
        </w:rPr>
      </w:pPr>
    </w:p>
    <w:tbl>
      <w:tblPr>
        <w:tblW w:w="8700" w:type="dxa"/>
        <w:tblInd w:w="92" w:type="dxa"/>
        <w:tblCellMar>
          <w:top w:w="15" w:type="dxa"/>
          <w:left w:w="15" w:type="dxa"/>
          <w:bottom w:w="15" w:type="dxa"/>
          <w:right w:w="15" w:type="dxa"/>
        </w:tblCellMar>
        <w:tblLook w:val="04A0" w:firstRow="1" w:lastRow="0" w:firstColumn="1" w:lastColumn="0" w:noHBand="0" w:noVBand="1"/>
      </w:tblPr>
      <w:tblGrid>
        <w:gridCol w:w="2603"/>
        <w:gridCol w:w="6097"/>
      </w:tblGrid>
      <w:tr w:rsidR="003C36D7" w:rsidTr="00531BA5">
        <w:trPr>
          <w:trHeight w:val="1633"/>
        </w:trPr>
        <w:tc>
          <w:tcPr>
            <w:tcW w:w="8700" w:type="dxa"/>
            <w:gridSpan w:val="2"/>
            <w:shd w:val="clear" w:color="auto" w:fill="auto"/>
            <w:noWrap/>
            <w:tcMar>
              <w:top w:w="0" w:type="dxa"/>
              <w:left w:w="108" w:type="dxa"/>
              <w:bottom w:w="0" w:type="dxa"/>
              <w:right w:w="108" w:type="dxa"/>
            </w:tcMar>
            <w:vAlign w:val="center"/>
          </w:tcPr>
          <w:p w:rsidR="003C36D7" w:rsidRDefault="003C36D7" w:rsidP="00531BA5">
            <w:pPr>
              <w:pStyle w:val="a3"/>
              <w:widowControl/>
              <w:spacing w:beforeAutospacing="0" w:afterAutospacing="0"/>
              <w:jc w:val="center"/>
              <w:textAlignment w:val="center"/>
              <w:rPr>
                <w:rFonts w:ascii="Calibri" w:hAnsi="Calibri" w:cs="Calibri"/>
                <w:color w:val="000000" w:themeColor="text1"/>
                <w:sz w:val="21"/>
                <w:szCs w:val="21"/>
              </w:rPr>
            </w:pPr>
            <w:r>
              <w:rPr>
                <w:rFonts w:ascii="黑体" w:eastAsia="黑体" w:hAnsi="宋体" w:cs="黑体" w:hint="eastAsia"/>
                <w:color w:val="000000" w:themeColor="text1"/>
                <w:sz w:val="48"/>
                <w:szCs w:val="48"/>
              </w:rPr>
              <w:lastRenderedPageBreak/>
              <w:t>委托招标项目进入市公共资源</w:t>
            </w:r>
          </w:p>
          <w:p w:rsidR="003C36D7" w:rsidRDefault="003C36D7" w:rsidP="00531BA5">
            <w:pPr>
              <w:pStyle w:val="a3"/>
              <w:widowControl/>
              <w:spacing w:beforeAutospacing="0" w:afterAutospacing="0"/>
              <w:jc w:val="center"/>
              <w:textAlignment w:val="center"/>
              <w:rPr>
                <w:rFonts w:ascii="Calibri" w:hAnsi="Calibri" w:cs="Calibri"/>
                <w:color w:val="000000" w:themeColor="text1"/>
                <w:sz w:val="21"/>
                <w:szCs w:val="21"/>
              </w:rPr>
            </w:pPr>
            <w:r>
              <w:rPr>
                <w:rFonts w:ascii="黑体" w:eastAsia="黑体" w:hAnsi="宋体" w:cs="黑体" w:hint="eastAsia"/>
                <w:color w:val="000000" w:themeColor="text1"/>
                <w:sz w:val="48"/>
                <w:szCs w:val="48"/>
              </w:rPr>
              <w:t>交易平台委托书</w:t>
            </w:r>
          </w:p>
        </w:tc>
      </w:tr>
      <w:tr w:rsidR="003C36D7" w:rsidTr="00531BA5">
        <w:trPr>
          <w:trHeight w:val="476"/>
        </w:trPr>
        <w:tc>
          <w:tcPr>
            <w:tcW w:w="26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textAlignment w:val="center"/>
              <w:rPr>
                <w:rFonts w:ascii="Calibri" w:hAnsi="Calibri" w:cs="Calibri"/>
                <w:color w:val="000000" w:themeColor="text1"/>
                <w:sz w:val="21"/>
                <w:szCs w:val="21"/>
              </w:rPr>
            </w:pPr>
            <w:r>
              <w:rPr>
                <w:rFonts w:ascii="宋体" w:eastAsia="宋体" w:hAnsi="宋体" w:cs="宋体" w:hint="eastAsia"/>
                <w:b/>
                <w:bCs/>
                <w:color w:val="000000" w:themeColor="text1"/>
              </w:rPr>
              <w:t>项目名称</w:t>
            </w:r>
          </w:p>
        </w:tc>
        <w:tc>
          <w:tcPr>
            <w:tcW w:w="60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rPr>
                <w:rFonts w:ascii="Calibri" w:hAnsi="Calibri" w:cs="Calibri"/>
                <w:color w:val="000000" w:themeColor="text1"/>
                <w:sz w:val="21"/>
                <w:szCs w:val="21"/>
              </w:rPr>
            </w:pPr>
            <w:r>
              <w:rPr>
                <w:rFonts w:ascii="Calibri" w:hAnsi="Calibri" w:cs="Calibri"/>
                <w:color w:val="000000" w:themeColor="text1"/>
                <w:sz w:val="21"/>
                <w:szCs w:val="21"/>
              </w:rPr>
              <w:t> </w:t>
            </w:r>
          </w:p>
        </w:tc>
      </w:tr>
      <w:tr w:rsidR="003C36D7" w:rsidTr="00531BA5">
        <w:trPr>
          <w:trHeight w:val="476"/>
        </w:trPr>
        <w:tc>
          <w:tcPr>
            <w:tcW w:w="26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textAlignment w:val="center"/>
              <w:rPr>
                <w:rFonts w:ascii="Calibri" w:hAnsi="Calibri" w:cs="Calibri"/>
                <w:color w:val="000000" w:themeColor="text1"/>
                <w:sz w:val="21"/>
                <w:szCs w:val="21"/>
              </w:rPr>
            </w:pPr>
            <w:r>
              <w:rPr>
                <w:rFonts w:ascii="宋体" w:eastAsia="宋体" w:hAnsi="宋体" w:cs="宋体" w:hint="eastAsia"/>
                <w:b/>
                <w:bCs/>
                <w:color w:val="000000" w:themeColor="text1"/>
              </w:rPr>
              <w:t>立项文件</w:t>
            </w:r>
          </w:p>
        </w:tc>
        <w:tc>
          <w:tcPr>
            <w:tcW w:w="6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rPr>
                <w:rFonts w:ascii="Calibri" w:hAnsi="Calibri" w:cs="Calibri"/>
                <w:color w:val="000000" w:themeColor="text1"/>
                <w:sz w:val="21"/>
                <w:szCs w:val="21"/>
              </w:rPr>
            </w:pPr>
            <w:r>
              <w:rPr>
                <w:rFonts w:ascii="Calibri" w:hAnsi="Calibri" w:cs="Calibri"/>
                <w:color w:val="000000" w:themeColor="text1"/>
                <w:sz w:val="21"/>
                <w:szCs w:val="21"/>
              </w:rPr>
              <w:t> </w:t>
            </w:r>
          </w:p>
        </w:tc>
      </w:tr>
      <w:tr w:rsidR="003C36D7" w:rsidTr="00531BA5">
        <w:trPr>
          <w:trHeight w:val="476"/>
        </w:trPr>
        <w:tc>
          <w:tcPr>
            <w:tcW w:w="26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textAlignment w:val="center"/>
              <w:rPr>
                <w:rFonts w:ascii="Calibri" w:hAnsi="Calibri" w:cs="Calibri"/>
                <w:color w:val="000000" w:themeColor="text1"/>
                <w:sz w:val="21"/>
                <w:szCs w:val="21"/>
              </w:rPr>
            </w:pPr>
            <w:r>
              <w:rPr>
                <w:rFonts w:ascii="宋体" w:eastAsia="宋体" w:hAnsi="宋体" w:cs="宋体" w:hint="eastAsia"/>
                <w:b/>
                <w:bCs/>
                <w:color w:val="000000" w:themeColor="text1"/>
              </w:rPr>
              <w:t>计划投资</w:t>
            </w:r>
          </w:p>
        </w:tc>
        <w:tc>
          <w:tcPr>
            <w:tcW w:w="6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rPr>
                <w:rFonts w:ascii="Calibri" w:hAnsi="Calibri" w:cs="Calibri"/>
                <w:color w:val="000000" w:themeColor="text1"/>
                <w:sz w:val="21"/>
                <w:szCs w:val="21"/>
              </w:rPr>
            </w:pPr>
            <w:r>
              <w:rPr>
                <w:rFonts w:ascii="Calibri" w:hAnsi="Calibri" w:cs="Calibri"/>
                <w:color w:val="000000" w:themeColor="text1"/>
                <w:sz w:val="21"/>
                <w:szCs w:val="21"/>
              </w:rPr>
              <w:t> </w:t>
            </w:r>
          </w:p>
        </w:tc>
      </w:tr>
      <w:tr w:rsidR="003C36D7" w:rsidTr="00531BA5">
        <w:trPr>
          <w:trHeight w:val="476"/>
        </w:trPr>
        <w:tc>
          <w:tcPr>
            <w:tcW w:w="26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textAlignment w:val="center"/>
              <w:rPr>
                <w:rFonts w:ascii="Calibri" w:hAnsi="Calibri" w:cs="Calibri"/>
                <w:color w:val="000000" w:themeColor="text1"/>
                <w:sz w:val="21"/>
                <w:szCs w:val="21"/>
              </w:rPr>
            </w:pPr>
            <w:r>
              <w:rPr>
                <w:rFonts w:ascii="宋体" w:eastAsia="宋体" w:hAnsi="宋体" w:cs="宋体" w:hint="eastAsia"/>
                <w:b/>
                <w:bCs/>
                <w:color w:val="000000" w:themeColor="text1"/>
              </w:rPr>
              <w:t>招标人单位名称</w:t>
            </w:r>
          </w:p>
        </w:tc>
        <w:tc>
          <w:tcPr>
            <w:tcW w:w="6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rPr>
                <w:rFonts w:ascii="Calibri" w:hAnsi="Calibri" w:cs="Calibri"/>
                <w:color w:val="000000" w:themeColor="text1"/>
                <w:sz w:val="21"/>
                <w:szCs w:val="21"/>
              </w:rPr>
            </w:pPr>
            <w:r>
              <w:rPr>
                <w:rFonts w:ascii="Calibri" w:hAnsi="Calibri" w:cs="Calibri"/>
                <w:color w:val="000000" w:themeColor="text1"/>
                <w:sz w:val="21"/>
                <w:szCs w:val="21"/>
              </w:rPr>
              <w:t> </w:t>
            </w:r>
          </w:p>
        </w:tc>
      </w:tr>
      <w:tr w:rsidR="003C36D7" w:rsidTr="00531BA5">
        <w:trPr>
          <w:trHeight w:val="476"/>
        </w:trPr>
        <w:tc>
          <w:tcPr>
            <w:tcW w:w="26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textAlignment w:val="center"/>
              <w:rPr>
                <w:rFonts w:ascii="Calibri" w:hAnsi="Calibri" w:cs="Calibri"/>
                <w:color w:val="000000" w:themeColor="text1"/>
                <w:sz w:val="21"/>
                <w:szCs w:val="21"/>
              </w:rPr>
            </w:pPr>
            <w:r>
              <w:rPr>
                <w:rFonts w:ascii="宋体" w:eastAsia="宋体" w:hAnsi="宋体" w:cs="宋体" w:hint="eastAsia"/>
                <w:b/>
                <w:bCs/>
                <w:color w:val="000000" w:themeColor="text1"/>
              </w:rPr>
              <w:t>联系人及联系方式</w:t>
            </w:r>
          </w:p>
        </w:tc>
        <w:tc>
          <w:tcPr>
            <w:tcW w:w="6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rPr>
                <w:rFonts w:ascii="Calibri" w:hAnsi="Calibri" w:cs="Calibri"/>
                <w:color w:val="000000" w:themeColor="text1"/>
                <w:sz w:val="21"/>
                <w:szCs w:val="21"/>
              </w:rPr>
            </w:pPr>
            <w:r>
              <w:rPr>
                <w:rFonts w:ascii="Calibri" w:hAnsi="Calibri" w:cs="Calibri"/>
                <w:color w:val="000000" w:themeColor="text1"/>
                <w:sz w:val="21"/>
                <w:szCs w:val="21"/>
              </w:rPr>
              <w:t> </w:t>
            </w:r>
          </w:p>
        </w:tc>
      </w:tr>
      <w:tr w:rsidR="003C36D7" w:rsidTr="00531BA5">
        <w:trPr>
          <w:trHeight w:val="476"/>
        </w:trPr>
        <w:tc>
          <w:tcPr>
            <w:tcW w:w="26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textAlignment w:val="center"/>
              <w:rPr>
                <w:rFonts w:ascii="Calibri" w:hAnsi="Calibri" w:cs="Calibri"/>
                <w:color w:val="000000" w:themeColor="text1"/>
                <w:sz w:val="21"/>
                <w:szCs w:val="21"/>
              </w:rPr>
            </w:pPr>
            <w:r>
              <w:rPr>
                <w:rFonts w:ascii="宋体" w:eastAsia="宋体" w:hAnsi="宋体" w:cs="宋体" w:hint="eastAsia"/>
                <w:b/>
                <w:bCs/>
                <w:color w:val="000000" w:themeColor="text1"/>
              </w:rPr>
              <w:t>行政监督部门</w:t>
            </w:r>
          </w:p>
        </w:tc>
        <w:tc>
          <w:tcPr>
            <w:tcW w:w="6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rPr>
                <w:rFonts w:ascii="Calibri" w:hAnsi="Calibri" w:cs="Calibri"/>
                <w:color w:val="000000" w:themeColor="text1"/>
                <w:sz w:val="21"/>
                <w:szCs w:val="21"/>
              </w:rPr>
            </w:pPr>
            <w:r>
              <w:rPr>
                <w:rFonts w:ascii="Calibri" w:hAnsi="Calibri" w:cs="Calibri"/>
                <w:color w:val="000000" w:themeColor="text1"/>
                <w:sz w:val="21"/>
                <w:szCs w:val="21"/>
              </w:rPr>
              <w:t> </w:t>
            </w:r>
          </w:p>
        </w:tc>
      </w:tr>
      <w:tr w:rsidR="003C36D7" w:rsidTr="00531BA5">
        <w:trPr>
          <w:trHeight w:val="476"/>
        </w:trPr>
        <w:tc>
          <w:tcPr>
            <w:tcW w:w="26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textAlignment w:val="center"/>
              <w:rPr>
                <w:rFonts w:ascii="Calibri" w:hAnsi="Calibri" w:cs="Calibri"/>
                <w:color w:val="000000" w:themeColor="text1"/>
                <w:sz w:val="21"/>
                <w:szCs w:val="21"/>
              </w:rPr>
            </w:pPr>
            <w:r>
              <w:rPr>
                <w:rFonts w:ascii="宋体" w:eastAsia="宋体" w:hAnsi="宋体" w:cs="宋体" w:hint="eastAsia"/>
                <w:b/>
                <w:bCs/>
                <w:color w:val="000000" w:themeColor="text1"/>
              </w:rPr>
              <w:t>所需评审专业类别</w:t>
            </w:r>
          </w:p>
        </w:tc>
        <w:tc>
          <w:tcPr>
            <w:tcW w:w="6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rPr>
                <w:rFonts w:ascii="Calibri" w:hAnsi="Calibri" w:cs="Calibri"/>
                <w:color w:val="000000" w:themeColor="text1"/>
                <w:sz w:val="21"/>
                <w:szCs w:val="21"/>
              </w:rPr>
            </w:pPr>
            <w:r>
              <w:rPr>
                <w:rFonts w:ascii="Calibri" w:hAnsi="Calibri" w:cs="Calibri"/>
                <w:color w:val="000000" w:themeColor="text1"/>
                <w:sz w:val="21"/>
                <w:szCs w:val="21"/>
              </w:rPr>
              <w:t> </w:t>
            </w:r>
          </w:p>
        </w:tc>
      </w:tr>
      <w:tr w:rsidR="003C36D7" w:rsidTr="00531BA5">
        <w:trPr>
          <w:trHeight w:val="476"/>
        </w:trPr>
        <w:tc>
          <w:tcPr>
            <w:tcW w:w="26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textAlignment w:val="center"/>
              <w:rPr>
                <w:rFonts w:ascii="Calibri" w:hAnsi="Calibri" w:cs="Calibri"/>
                <w:color w:val="000000" w:themeColor="text1"/>
                <w:sz w:val="21"/>
                <w:szCs w:val="21"/>
              </w:rPr>
            </w:pPr>
            <w:r>
              <w:rPr>
                <w:rFonts w:ascii="宋体" w:eastAsia="宋体" w:hAnsi="宋体" w:cs="宋体" w:hint="eastAsia"/>
                <w:b/>
                <w:bCs/>
                <w:color w:val="000000" w:themeColor="text1"/>
              </w:rPr>
              <w:t>申请原因</w:t>
            </w:r>
          </w:p>
        </w:tc>
        <w:tc>
          <w:tcPr>
            <w:tcW w:w="6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rPr>
                <w:rFonts w:ascii="Calibri" w:hAnsi="Calibri" w:cs="Calibri"/>
                <w:color w:val="000000" w:themeColor="text1"/>
                <w:sz w:val="21"/>
                <w:szCs w:val="21"/>
              </w:rPr>
            </w:pPr>
            <w:r>
              <w:rPr>
                <w:rFonts w:ascii="Calibri" w:hAnsi="Calibri" w:cs="Calibri"/>
                <w:color w:val="000000" w:themeColor="text1"/>
                <w:sz w:val="21"/>
                <w:szCs w:val="21"/>
              </w:rPr>
              <w:t> </w:t>
            </w:r>
          </w:p>
        </w:tc>
      </w:tr>
      <w:tr w:rsidR="003C36D7" w:rsidTr="00531BA5">
        <w:trPr>
          <w:trHeight w:val="3742"/>
        </w:trPr>
        <w:tc>
          <w:tcPr>
            <w:tcW w:w="26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textAlignment w:val="center"/>
              <w:rPr>
                <w:rFonts w:ascii="Calibri" w:hAnsi="Calibri" w:cs="Calibri"/>
                <w:color w:val="000000" w:themeColor="text1"/>
                <w:sz w:val="21"/>
                <w:szCs w:val="21"/>
              </w:rPr>
            </w:pPr>
            <w:r>
              <w:rPr>
                <w:rFonts w:ascii="宋体" w:eastAsia="宋体" w:hAnsi="宋体" w:cs="宋体" w:hint="eastAsia"/>
                <w:b/>
                <w:bCs/>
                <w:color w:val="000000" w:themeColor="text1"/>
              </w:rPr>
              <w:t>招标人申请</w:t>
            </w:r>
          </w:p>
        </w:tc>
        <w:tc>
          <w:tcPr>
            <w:tcW w:w="6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ind w:firstLine="482"/>
              <w:textAlignment w:val="center"/>
              <w:rPr>
                <w:rFonts w:ascii="Calibri" w:hAnsi="Calibri" w:cs="Calibri"/>
                <w:color w:val="000000" w:themeColor="text1"/>
                <w:sz w:val="21"/>
                <w:szCs w:val="21"/>
              </w:rPr>
            </w:pPr>
            <w:r>
              <w:rPr>
                <w:rFonts w:ascii="宋体" w:eastAsia="宋体" w:hAnsi="宋体" w:cs="宋体" w:hint="eastAsia"/>
                <w:b/>
                <w:bCs/>
                <w:color w:val="000000" w:themeColor="text1"/>
              </w:rPr>
              <w:t>根据《中华人民共和国招投标法》、《必须招标的工程项目规定》（</w:t>
            </w:r>
            <w:proofErr w:type="gramStart"/>
            <w:r>
              <w:rPr>
                <w:rFonts w:ascii="宋体" w:eastAsia="宋体" w:hAnsi="宋体" w:cs="宋体" w:hint="eastAsia"/>
                <w:b/>
                <w:bCs/>
                <w:color w:val="000000" w:themeColor="text1"/>
              </w:rPr>
              <w:t>国家发改委</w:t>
            </w:r>
            <w:proofErr w:type="gramEnd"/>
            <w:r>
              <w:rPr>
                <w:rFonts w:ascii="宋体" w:eastAsia="宋体" w:hAnsi="宋体" w:cs="宋体" w:hint="eastAsia"/>
                <w:b/>
                <w:bCs/>
                <w:color w:val="000000" w:themeColor="text1"/>
              </w:rPr>
              <w:t>16号令）要求，本项目不属于工程建设</w:t>
            </w:r>
            <w:proofErr w:type="gramStart"/>
            <w:r>
              <w:rPr>
                <w:rFonts w:ascii="宋体" w:eastAsia="宋体" w:hAnsi="宋体" w:cs="宋体" w:hint="eastAsia"/>
                <w:b/>
                <w:bCs/>
                <w:color w:val="000000" w:themeColor="text1"/>
              </w:rPr>
              <w:t>类依法</w:t>
            </w:r>
            <w:proofErr w:type="gramEnd"/>
            <w:r>
              <w:rPr>
                <w:rFonts w:ascii="宋体" w:eastAsia="宋体" w:hAnsi="宋体" w:cs="宋体" w:hint="eastAsia"/>
                <w:b/>
                <w:bCs/>
                <w:color w:val="000000" w:themeColor="text1"/>
              </w:rPr>
              <w:t>必须招标的范围。</w:t>
            </w:r>
          </w:p>
          <w:p w:rsidR="003C36D7" w:rsidRDefault="003C36D7" w:rsidP="00531BA5">
            <w:pPr>
              <w:pStyle w:val="a3"/>
              <w:widowControl/>
              <w:spacing w:beforeAutospacing="0" w:afterAutospacing="0"/>
              <w:ind w:firstLine="482"/>
              <w:textAlignment w:val="center"/>
              <w:rPr>
                <w:rFonts w:ascii="Calibri" w:hAnsi="Calibri" w:cs="Calibri"/>
                <w:color w:val="000000" w:themeColor="text1"/>
                <w:sz w:val="21"/>
                <w:szCs w:val="21"/>
              </w:rPr>
            </w:pPr>
            <w:r>
              <w:rPr>
                <w:rFonts w:ascii="宋体" w:eastAsia="宋体" w:hAnsi="宋体" w:cs="宋体" w:hint="eastAsia"/>
                <w:b/>
                <w:bCs/>
                <w:color w:val="000000" w:themeColor="text1"/>
              </w:rPr>
              <w:t>为规范本项目公开招标流程，确保国有资金的使用依法合</w:t>
            </w:r>
            <w:proofErr w:type="gramStart"/>
            <w:r>
              <w:rPr>
                <w:rFonts w:ascii="宋体" w:eastAsia="宋体" w:hAnsi="宋体" w:cs="宋体" w:hint="eastAsia"/>
                <w:b/>
                <w:bCs/>
                <w:color w:val="000000" w:themeColor="text1"/>
              </w:rPr>
              <w:t>规</w:t>
            </w:r>
            <w:proofErr w:type="gramEnd"/>
            <w:r>
              <w:rPr>
                <w:rFonts w:ascii="宋体" w:eastAsia="宋体" w:hAnsi="宋体" w:cs="宋体" w:hint="eastAsia"/>
                <w:b/>
                <w:bCs/>
                <w:color w:val="000000" w:themeColor="text1"/>
              </w:rPr>
              <w:t>，我单位特申请委托___________项目进入呼和浩特市公共资源交易平台进行公开招投标工作，并自愿接受市公共资源交易监督管理局全过程监管。因委托招标项目进入公共资源交易平台而产生的各类质疑及不良后果由我单位自行承担。</w:t>
            </w:r>
          </w:p>
        </w:tc>
      </w:tr>
      <w:tr w:rsidR="003C36D7" w:rsidTr="00531BA5">
        <w:trPr>
          <w:trHeight w:val="2585"/>
        </w:trPr>
        <w:tc>
          <w:tcPr>
            <w:tcW w:w="26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center"/>
              <w:textAlignment w:val="center"/>
              <w:rPr>
                <w:rFonts w:ascii="Calibri" w:hAnsi="Calibri" w:cs="Calibri"/>
                <w:color w:val="000000" w:themeColor="text1"/>
                <w:sz w:val="21"/>
                <w:szCs w:val="21"/>
              </w:rPr>
            </w:pPr>
            <w:r>
              <w:rPr>
                <w:rFonts w:ascii="宋体" w:eastAsia="宋体" w:hAnsi="宋体" w:cs="宋体" w:hint="eastAsia"/>
                <w:b/>
                <w:bCs/>
                <w:color w:val="000000" w:themeColor="text1"/>
              </w:rPr>
              <w:t>招标人法定代表人或主要负责人签字并加盖公章</w:t>
            </w:r>
          </w:p>
        </w:tc>
        <w:tc>
          <w:tcPr>
            <w:tcW w:w="60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36D7" w:rsidRDefault="003C36D7" w:rsidP="00531BA5">
            <w:pPr>
              <w:pStyle w:val="a3"/>
              <w:widowControl/>
              <w:spacing w:beforeAutospacing="0" w:afterAutospacing="0"/>
              <w:jc w:val="right"/>
              <w:rPr>
                <w:rFonts w:ascii="Calibri" w:hAnsi="Calibri" w:cs="Calibri"/>
                <w:color w:val="000000" w:themeColor="text1"/>
                <w:sz w:val="21"/>
                <w:szCs w:val="21"/>
              </w:rPr>
            </w:pPr>
            <w:r>
              <w:rPr>
                <w:rFonts w:ascii="Calibri" w:hAnsi="Calibri" w:cs="Calibri"/>
                <w:color w:val="000000" w:themeColor="text1"/>
                <w:sz w:val="21"/>
                <w:szCs w:val="21"/>
              </w:rPr>
              <w:t> </w:t>
            </w:r>
          </w:p>
          <w:p w:rsidR="003C36D7" w:rsidRDefault="003C36D7" w:rsidP="00531BA5">
            <w:pPr>
              <w:pStyle w:val="a3"/>
              <w:widowControl/>
              <w:spacing w:beforeAutospacing="0" w:afterAutospacing="0"/>
              <w:jc w:val="right"/>
              <w:rPr>
                <w:rFonts w:ascii="Calibri" w:hAnsi="Calibri" w:cs="Calibri" w:hint="eastAsia"/>
                <w:color w:val="000000" w:themeColor="text1"/>
                <w:sz w:val="21"/>
                <w:szCs w:val="21"/>
              </w:rPr>
            </w:pPr>
          </w:p>
          <w:p w:rsidR="003C36D7" w:rsidRDefault="003C36D7" w:rsidP="00531BA5">
            <w:pPr>
              <w:pStyle w:val="a3"/>
              <w:widowControl/>
              <w:spacing w:beforeAutospacing="0" w:afterAutospacing="0"/>
              <w:jc w:val="right"/>
              <w:rPr>
                <w:rFonts w:ascii="Calibri" w:hAnsi="Calibri" w:cs="Calibri" w:hint="eastAsia"/>
                <w:color w:val="000000" w:themeColor="text1"/>
                <w:sz w:val="21"/>
                <w:szCs w:val="21"/>
              </w:rPr>
            </w:pPr>
          </w:p>
          <w:p w:rsidR="003C36D7" w:rsidRDefault="003C36D7" w:rsidP="00531BA5">
            <w:pPr>
              <w:pStyle w:val="a3"/>
              <w:widowControl/>
              <w:spacing w:beforeAutospacing="0" w:afterAutospacing="0"/>
              <w:jc w:val="right"/>
              <w:rPr>
                <w:rFonts w:ascii="Calibri" w:hAnsi="Calibri" w:cs="Calibri" w:hint="eastAsia"/>
                <w:color w:val="000000" w:themeColor="text1"/>
                <w:sz w:val="21"/>
                <w:szCs w:val="21"/>
              </w:rPr>
            </w:pPr>
          </w:p>
          <w:p w:rsidR="003C36D7" w:rsidRDefault="003C36D7" w:rsidP="00531BA5">
            <w:pPr>
              <w:pStyle w:val="a3"/>
              <w:widowControl/>
              <w:spacing w:beforeAutospacing="0" w:afterAutospacing="0"/>
              <w:jc w:val="right"/>
              <w:rPr>
                <w:rFonts w:ascii="Calibri" w:hAnsi="Calibri" w:cs="Calibri" w:hint="eastAsia"/>
                <w:color w:val="000000" w:themeColor="text1"/>
                <w:sz w:val="21"/>
                <w:szCs w:val="21"/>
              </w:rPr>
            </w:pPr>
          </w:p>
          <w:p w:rsidR="003C36D7" w:rsidRDefault="003C36D7" w:rsidP="00531BA5">
            <w:pPr>
              <w:pStyle w:val="a3"/>
              <w:widowControl/>
              <w:spacing w:beforeAutospacing="0" w:afterAutospacing="0"/>
              <w:jc w:val="right"/>
              <w:rPr>
                <w:rFonts w:ascii="Calibri" w:hAnsi="Calibri" w:cs="Calibri" w:hint="eastAsia"/>
                <w:color w:val="000000" w:themeColor="text1"/>
                <w:sz w:val="21"/>
                <w:szCs w:val="21"/>
              </w:rPr>
            </w:pPr>
          </w:p>
          <w:p w:rsidR="003C36D7" w:rsidRDefault="003C36D7" w:rsidP="00531BA5">
            <w:pPr>
              <w:pStyle w:val="a3"/>
              <w:widowControl/>
              <w:spacing w:beforeAutospacing="0" w:afterAutospacing="0"/>
              <w:jc w:val="right"/>
              <w:rPr>
                <w:rFonts w:ascii="Calibri" w:hAnsi="Calibri" w:cs="Calibri" w:hint="eastAsia"/>
                <w:color w:val="000000" w:themeColor="text1"/>
                <w:sz w:val="21"/>
                <w:szCs w:val="21"/>
              </w:rPr>
            </w:pPr>
          </w:p>
          <w:p w:rsidR="003C36D7" w:rsidRDefault="003C36D7" w:rsidP="00531BA5">
            <w:pPr>
              <w:pStyle w:val="a3"/>
              <w:widowControl/>
              <w:spacing w:beforeAutospacing="0" w:afterAutospacing="0"/>
              <w:ind w:right="420"/>
              <w:rPr>
                <w:rFonts w:ascii="Calibri" w:hAnsi="Calibri" w:cs="Calibri"/>
                <w:color w:val="000000" w:themeColor="text1"/>
                <w:sz w:val="21"/>
                <w:szCs w:val="21"/>
              </w:rPr>
            </w:pPr>
            <w:r>
              <w:rPr>
                <w:rFonts w:ascii="Calibri" w:hAnsi="Calibri" w:cs="Calibri"/>
                <w:color w:val="000000" w:themeColor="text1"/>
                <w:sz w:val="21"/>
                <w:szCs w:val="21"/>
              </w:rPr>
              <w:t> </w:t>
            </w:r>
          </w:p>
          <w:p w:rsidR="003C36D7" w:rsidRDefault="003C36D7" w:rsidP="00531BA5">
            <w:pPr>
              <w:pStyle w:val="a3"/>
              <w:widowControl/>
              <w:spacing w:beforeAutospacing="0" w:afterAutospacing="0"/>
              <w:jc w:val="right"/>
              <w:rPr>
                <w:rFonts w:ascii="Calibri" w:hAnsi="Calibri" w:cs="Calibri"/>
                <w:color w:val="000000" w:themeColor="text1"/>
                <w:sz w:val="21"/>
                <w:szCs w:val="21"/>
              </w:rPr>
            </w:pPr>
            <w:r>
              <w:rPr>
                <w:rFonts w:ascii="Calibri" w:hAnsi="Calibri" w:cs="Calibri"/>
                <w:color w:val="000000" w:themeColor="text1"/>
                <w:sz w:val="21"/>
                <w:szCs w:val="21"/>
              </w:rPr>
              <w:t> </w:t>
            </w:r>
          </w:p>
          <w:p w:rsidR="003C36D7" w:rsidRDefault="003C36D7" w:rsidP="00531BA5">
            <w:pPr>
              <w:pStyle w:val="a3"/>
              <w:widowControl/>
              <w:spacing w:beforeAutospacing="0" w:afterAutospacing="0"/>
              <w:jc w:val="right"/>
              <w:rPr>
                <w:rFonts w:ascii="Calibri" w:hAnsi="Calibri" w:cs="Calibri"/>
                <w:color w:val="000000" w:themeColor="text1"/>
                <w:sz w:val="21"/>
                <w:szCs w:val="21"/>
              </w:rPr>
            </w:pPr>
            <w:r>
              <w:rPr>
                <w:rFonts w:ascii="宋体" w:eastAsia="宋体" w:hAnsi="宋体" w:cs="宋体" w:hint="eastAsia"/>
                <w:b/>
                <w:bCs/>
                <w:color w:val="000000" w:themeColor="text1"/>
              </w:rPr>
              <w:t>（ 盖 章 ） </w:t>
            </w:r>
          </w:p>
          <w:p w:rsidR="003C36D7" w:rsidRDefault="003C36D7" w:rsidP="00531BA5">
            <w:pPr>
              <w:pStyle w:val="a3"/>
              <w:widowControl/>
              <w:spacing w:beforeAutospacing="0" w:afterAutospacing="0"/>
              <w:jc w:val="right"/>
              <w:rPr>
                <w:rFonts w:ascii="Calibri" w:hAnsi="Calibri" w:cs="Calibri"/>
                <w:color w:val="000000" w:themeColor="text1"/>
                <w:sz w:val="21"/>
                <w:szCs w:val="21"/>
              </w:rPr>
            </w:pPr>
            <w:r>
              <w:rPr>
                <w:rFonts w:ascii="Calibri" w:hAnsi="Calibri" w:cs="Calibri"/>
                <w:color w:val="000000" w:themeColor="text1"/>
                <w:sz w:val="21"/>
                <w:szCs w:val="21"/>
              </w:rPr>
              <w:t> </w:t>
            </w:r>
          </w:p>
          <w:p w:rsidR="003C36D7" w:rsidRDefault="003C36D7" w:rsidP="00531BA5">
            <w:pPr>
              <w:pStyle w:val="a3"/>
              <w:widowControl/>
              <w:spacing w:beforeAutospacing="0" w:afterAutospacing="0"/>
              <w:jc w:val="right"/>
              <w:rPr>
                <w:rFonts w:ascii="Calibri" w:hAnsi="Calibri" w:cs="Calibri"/>
                <w:color w:val="000000" w:themeColor="text1"/>
                <w:sz w:val="21"/>
                <w:szCs w:val="21"/>
              </w:rPr>
            </w:pPr>
            <w:r>
              <w:rPr>
                <w:rFonts w:ascii="宋体" w:eastAsia="宋体" w:hAnsi="宋体" w:cs="宋体" w:hint="eastAsia"/>
                <w:b/>
                <w:bCs/>
                <w:color w:val="000000" w:themeColor="text1"/>
              </w:rPr>
              <w:t>年  月  日  </w:t>
            </w:r>
          </w:p>
        </w:tc>
      </w:tr>
    </w:tbl>
    <w:p w:rsidR="003C36D7" w:rsidRDefault="003C36D7" w:rsidP="003C36D7">
      <w:pPr>
        <w:rPr>
          <w:color w:val="000000" w:themeColor="text1"/>
        </w:rPr>
      </w:pPr>
    </w:p>
    <w:p w:rsidR="000F4722" w:rsidRDefault="000F4722">
      <w:bookmarkStart w:id="0" w:name="_GoBack"/>
      <w:bookmarkEnd w:id="0"/>
    </w:p>
    <w:sectPr w:rsidR="000F47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E4"/>
    <w:rsid w:val="000F4722"/>
    <w:rsid w:val="003C36D7"/>
    <w:rsid w:val="00DF7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C36D7"/>
    <w:pPr>
      <w:widowControl w:val="0"/>
      <w:jc w:val="both"/>
    </w:pPr>
    <w:rPr>
      <w:szCs w:val="24"/>
    </w:rPr>
  </w:style>
  <w:style w:type="paragraph" w:styleId="3">
    <w:name w:val="heading 3"/>
    <w:basedOn w:val="a"/>
    <w:next w:val="a"/>
    <w:link w:val="3Char"/>
    <w:autoRedefine/>
    <w:semiHidden/>
    <w:unhideWhenUsed/>
    <w:qFormat/>
    <w:rsid w:val="003C36D7"/>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3C36D7"/>
    <w:rPr>
      <w:rFonts w:ascii="宋体" w:eastAsia="宋体" w:hAnsi="宋体" w:cs="Times New Roman"/>
      <w:b/>
      <w:bCs/>
      <w:kern w:val="0"/>
      <w:sz w:val="27"/>
      <w:szCs w:val="27"/>
    </w:rPr>
  </w:style>
  <w:style w:type="paragraph" w:styleId="a3">
    <w:name w:val="Normal (Web)"/>
    <w:basedOn w:val="a"/>
    <w:autoRedefine/>
    <w:qFormat/>
    <w:rsid w:val="003C36D7"/>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C36D7"/>
    <w:pPr>
      <w:widowControl w:val="0"/>
      <w:jc w:val="both"/>
    </w:pPr>
    <w:rPr>
      <w:szCs w:val="24"/>
    </w:rPr>
  </w:style>
  <w:style w:type="paragraph" w:styleId="3">
    <w:name w:val="heading 3"/>
    <w:basedOn w:val="a"/>
    <w:next w:val="a"/>
    <w:link w:val="3Char"/>
    <w:autoRedefine/>
    <w:semiHidden/>
    <w:unhideWhenUsed/>
    <w:qFormat/>
    <w:rsid w:val="003C36D7"/>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3C36D7"/>
    <w:rPr>
      <w:rFonts w:ascii="宋体" w:eastAsia="宋体" w:hAnsi="宋体" w:cs="Times New Roman"/>
      <w:b/>
      <w:bCs/>
      <w:kern w:val="0"/>
      <w:sz w:val="27"/>
      <w:szCs w:val="27"/>
    </w:rPr>
  </w:style>
  <w:style w:type="paragraph" w:styleId="a3">
    <w:name w:val="Normal (Web)"/>
    <w:basedOn w:val="a"/>
    <w:autoRedefine/>
    <w:qFormat/>
    <w:rsid w:val="003C36D7"/>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1153</Characters>
  <Application>Microsoft Office Word</Application>
  <DocSecurity>0</DocSecurity>
  <Lines>72</Lines>
  <Paragraphs>45</Paragraphs>
  <ScaleCrop>false</ScaleCrop>
  <Company>Lenovo</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2024-02-02T02:32:00Z</dcterms:created>
  <dcterms:modified xsi:type="dcterms:W3CDTF">2024-02-02T02:32:00Z</dcterms:modified>
</cp:coreProperties>
</file>